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965B1" w14:textId="17033EDC" w:rsidR="006E2D97" w:rsidRPr="0069147B" w:rsidRDefault="0069147B">
      <w:pPr>
        <w:rPr>
          <w:b/>
          <w:bCs/>
        </w:rPr>
      </w:pPr>
      <w:r w:rsidRPr="0069147B">
        <w:rPr>
          <w:b/>
          <w:bCs/>
        </w:rPr>
        <w:t>Kommentar QZH 115 – Stanser Verkommnis</w:t>
      </w:r>
    </w:p>
    <w:p w14:paraId="2586AD3E" w14:textId="3A6FC14D" w:rsidR="00214885" w:rsidRDefault="00D86C19" w:rsidP="005D4986">
      <w:pPr>
        <w:jc w:val="both"/>
      </w:pPr>
      <w:r>
        <w:t xml:space="preserve">Das Stanser Verkommnis ist eine Vereinbarung </w:t>
      </w:r>
      <w:r w:rsidR="008C35F3">
        <w:t xml:space="preserve">über die Friedenssicherung zwischen den </w:t>
      </w:r>
      <w:r>
        <w:t>acht eidgenössischen Orte</w:t>
      </w:r>
      <w:r w:rsidR="008C35F3">
        <w:t>n</w:t>
      </w:r>
      <w:r>
        <w:t xml:space="preserve"> Zürich, Bern, Luzern, Uri, Schwyz, Unterwalden, Zug und Glarus.</w:t>
      </w:r>
      <w:r w:rsidR="00473C73">
        <w:t xml:space="preserve"> </w:t>
      </w:r>
      <w:r w:rsidR="002055FB">
        <w:t xml:space="preserve">Zusammen mit dem gleichzeitigen Bündnisvertrag mit Freiburg und Solothurn (vgl. </w:t>
      </w:r>
      <w:commentRangeStart w:id="0"/>
      <w:r w:rsidR="002055FB">
        <w:t>StAZH C I 380</w:t>
      </w:r>
      <w:commentRangeEnd w:id="0"/>
      <w:r w:rsidR="00B14CD2">
        <w:rPr>
          <w:rStyle w:val="Kommentarzeichen"/>
        </w:rPr>
        <w:commentReference w:id="0"/>
      </w:r>
      <w:r w:rsidR="008524F3" w:rsidDel="008524F3">
        <w:t xml:space="preserve"> </w:t>
      </w:r>
      <w:r w:rsidR="002055FB">
        <w:t>)</w:t>
      </w:r>
      <w:r w:rsidR="00910EE7">
        <w:t xml:space="preserve"> beendete die Vereinbarung die innere Krise der 1470er Jahre</w:t>
      </w:r>
      <w:r w:rsidR="00BA753F">
        <w:t xml:space="preserve">. Gegensätzliche Interessen der Städte- und Länderorte in der Eidgenossenschaft hatten schon seit </w:t>
      </w:r>
      <w:r w:rsidR="001B66A8">
        <w:t>längerem</w:t>
      </w:r>
      <w:r w:rsidR="00BA753F">
        <w:t xml:space="preserve"> zu Konflikten geführt, diese hatten sich aber im Zusammenhang mit den Burgunderkriegen </w:t>
      </w:r>
      <w:r w:rsidR="00CA1E1D">
        <w:t xml:space="preserve">1474-1477 </w:t>
      </w:r>
      <w:r w:rsidR="00BA753F">
        <w:t>verschärft</w:t>
      </w:r>
      <w:r w:rsidR="00CA1E1D">
        <w:t xml:space="preserve"> und 1477</w:t>
      </w:r>
      <w:r w:rsidR="008C35F3">
        <w:t xml:space="preserve"> </w:t>
      </w:r>
      <w:r w:rsidR="00CA1E1D">
        <w:t xml:space="preserve">zum sogenannten Burgrecht-Streit geführt, </w:t>
      </w:r>
      <w:r w:rsidR="00681FF8">
        <w:t>bei dem</w:t>
      </w:r>
      <w:r w:rsidR="00CA1E1D">
        <w:t xml:space="preserve"> die Länderorte ein Rechtsverfahren gegen das Burgrecht der Städte eröffneten</w:t>
      </w:r>
      <w:r w:rsidR="007D6354">
        <w:t xml:space="preserve">. </w:t>
      </w:r>
      <w:proofErr w:type="gramStart"/>
      <w:r w:rsidR="00CB0011">
        <w:t>Nach lange erfolglosen Verhandlungen</w:t>
      </w:r>
      <w:proofErr w:type="gramEnd"/>
      <w:r w:rsidR="007D6354">
        <w:t xml:space="preserve"> einigten sich die Orte </w:t>
      </w:r>
      <w:r w:rsidR="008C35F3">
        <w:t>an der Stanser Tagsatzung vom 18.</w:t>
      </w:r>
      <w:r w:rsidR="00CB5394">
        <w:t xml:space="preserve"> bis </w:t>
      </w:r>
      <w:r w:rsidR="008C35F3">
        <w:t xml:space="preserve">22. Dezember </w:t>
      </w:r>
      <w:r w:rsidR="007D6354">
        <w:t>1481 schliesslich</w:t>
      </w:r>
      <w:r w:rsidR="00840B95">
        <w:t xml:space="preserve">. </w:t>
      </w:r>
      <w:r w:rsidR="000F2B5D">
        <w:t>Das</w:t>
      </w:r>
      <w:r w:rsidR="00B14CD2">
        <w:t>s</w:t>
      </w:r>
      <w:r w:rsidR="00CB0011" w:rsidRPr="00887609" w:rsidDel="00B4457B">
        <w:t xml:space="preserve"> Niklaus von Flüe an den Verhandlungen </w:t>
      </w:r>
      <w:r w:rsidR="000F2B5D">
        <w:t>beteiligt war, ist zwar</w:t>
      </w:r>
      <w:r w:rsidR="000F0D74" w:rsidRPr="00887609" w:rsidDel="00B4457B">
        <w:t xml:space="preserve"> </w:t>
      </w:r>
      <w:r w:rsidR="00CB0011" w:rsidRPr="00887609" w:rsidDel="00B4457B">
        <w:t xml:space="preserve">belegt, </w:t>
      </w:r>
      <w:r w:rsidR="000E007B">
        <w:t>doch wurde die Rolle von «Bruder Klaus»</w:t>
      </w:r>
      <w:r w:rsidR="000E007B" w:rsidDel="00B4457B">
        <w:t xml:space="preserve"> </w:t>
      </w:r>
      <w:r w:rsidR="00B14CD2">
        <w:t xml:space="preserve">wohl </w:t>
      </w:r>
      <w:r w:rsidR="00887609" w:rsidRPr="00887609" w:rsidDel="00B4457B">
        <w:t xml:space="preserve">bereits in der zeitgenössischen Chronistik </w:t>
      </w:r>
      <w:r w:rsidR="0013203B">
        <w:t>legendarisch überhöht</w:t>
      </w:r>
      <w:r w:rsidR="00887609" w:rsidRPr="00D04D47" w:rsidDel="00B4457B">
        <w:t xml:space="preserve"> </w:t>
      </w:r>
      <w:r w:rsidR="00681FF8" w:rsidRPr="0085223E" w:rsidDel="00B4457B">
        <w:t>(</w:t>
      </w:r>
      <w:commentRangeStart w:id="1"/>
      <w:r w:rsidR="00681FF8" w:rsidRPr="0085223E" w:rsidDel="00B4457B">
        <w:t xml:space="preserve">Stettler 2004, </w:t>
      </w:r>
      <w:r w:rsidR="000F2B5D">
        <w:t xml:space="preserve">S. </w:t>
      </w:r>
      <w:r w:rsidR="00681FF8" w:rsidRPr="0085223E" w:rsidDel="00B4457B">
        <w:t>298-300</w:t>
      </w:r>
      <w:commentRangeEnd w:id="1"/>
      <w:r w:rsidR="006024B3">
        <w:rPr>
          <w:rStyle w:val="Kommentarzeichen"/>
        </w:rPr>
        <w:commentReference w:id="1"/>
      </w:r>
      <w:r w:rsidR="00681FF8" w:rsidRPr="0085223E" w:rsidDel="00B4457B">
        <w:t>).</w:t>
      </w:r>
    </w:p>
    <w:p w14:paraId="5013343B" w14:textId="7CA93CD2" w:rsidR="00214885" w:rsidRDefault="00A11A9E" w:rsidP="005D4986">
      <w:pPr>
        <w:jc w:val="both"/>
      </w:pPr>
      <w:r w:rsidRPr="00D04D47">
        <w:t>Inhaltlich bestätigt das Stanser Verkommnis die Bestimmungen des </w:t>
      </w:r>
      <w:hyperlink r:id="rId9" w:tgtFrame="_blank" w:tooltip="Pfaffenbrief" w:history="1">
        <w:r w:rsidRPr="00D04D47">
          <w:rPr>
            <w:rStyle w:val="Hyperlink"/>
            <w:color w:val="auto"/>
            <w:u w:val="none"/>
          </w:rPr>
          <w:t>Pfaffenbriefs</w:t>
        </w:r>
      </w:hyperlink>
      <w:r w:rsidR="008524F3">
        <w:t xml:space="preserve"> (1370)</w:t>
      </w:r>
      <w:r w:rsidRPr="00D04D47">
        <w:t> und des </w:t>
      </w:r>
      <w:proofErr w:type="spellStart"/>
      <w:r>
        <w:fldChar w:fldCharType="begin"/>
      </w:r>
      <w:r>
        <w:instrText>HYPERLINK "https://hls-dhs-dss.ch/de/articles/009804/2011-11-22/" \t "_blank" \o "Sempacherbrief"</w:instrText>
      </w:r>
      <w:r>
        <w:fldChar w:fldCharType="separate"/>
      </w:r>
      <w:r w:rsidRPr="00D04D47">
        <w:rPr>
          <w:rStyle w:val="Hyperlink"/>
          <w:color w:val="auto"/>
          <w:u w:val="none"/>
        </w:rPr>
        <w:t>Sempacherbriefs</w:t>
      </w:r>
      <w:proofErr w:type="spellEnd"/>
      <w:r>
        <w:fldChar w:fldCharType="end"/>
      </w:r>
      <w:r w:rsidR="008524F3">
        <w:t xml:space="preserve"> (1393)</w:t>
      </w:r>
      <w:r w:rsidRPr="00D04D47">
        <w:t xml:space="preserve">, verurteilt </w:t>
      </w:r>
      <w:commentRangeStart w:id="2"/>
      <w:r w:rsidRPr="00D04D47">
        <w:t>«mutwillige Gewalt»</w:t>
      </w:r>
      <w:commentRangeEnd w:id="2"/>
      <w:r w:rsidR="00C27890">
        <w:rPr>
          <w:rStyle w:val="Kommentarzeichen"/>
        </w:rPr>
        <w:commentReference w:id="2"/>
      </w:r>
      <w:r w:rsidRPr="00D04D47">
        <w:t xml:space="preserve"> und </w:t>
      </w:r>
      <w:r w:rsidR="00D04D47" w:rsidRPr="00D04D47">
        <w:t>verbietet Versammlunge</w:t>
      </w:r>
      <w:r w:rsidR="00D04D47">
        <w:t xml:space="preserve">n, die nicht </w:t>
      </w:r>
      <w:r w:rsidR="00C976C8">
        <w:t>o</w:t>
      </w:r>
      <w:r w:rsidR="00D04D47">
        <w:t>rdnungsgemäss einberufen w</w:t>
      </w:r>
      <w:r w:rsidR="001B66A8">
        <w:t>urden</w:t>
      </w:r>
      <w:r w:rsidR="00D04D47" w:rsidRPr="00D04D47">
        <w:t>. Weiter</w:t>
      </w:r>
      <w:r w:rsidRPr="00D04D47">
        <w:t xml:space="preserve"> verpflichtet </w:t>
      </w:r>
      <w:r w:rsidR="00D04D47" w:rsidRPr="00D04D47">
        <w:t xml:space="preserve">es </w:t>
      </w:r>
      <w:r w:rsidRPr="00D04D47">
        <w:t>die Orte zur gegenseitigen Hilfeleistung</w:t>
      </w:r>
      <w:r w:rsidR="00D04D47">
        <w:t xml:space="preserve"> bei Ungehorsam von Untertanen</w:t>
      </w:r>
      <w:r w:rsidRPr="00D04D47">
        <w:t xml:space="preserve">. </w:t>
      </w:r>
      <w:r w:rsidR="00D04D47" w:rsidRPr="00D04D47">
        <w:t>Es folgen</w:t>
      </w:r>
      <w:r w:rsidRPr="00D04D47">
        <w:t> Bestimmungen über die Teilung der Kriegsbeute</w:t>
      </w:r>
      <w:r w:rsidR="00D04D47">
        <w:t xml:space="preserve">, so sollen </w:t>
      </w:r>
      <w:r w:rsidRPr="00D04D47">
        <w:t xml:space="preserve">die beteiligten Orte gleichen Anteil an eroberten Gebieten und Herrschaftsrechten haben und </w:t>
      </w:r>
      <w:r w:rsidR="00D04D47">
        <w:t xml:space="preserve">Kriegsbeute </w:t>
      </w:r>
      <w:r w:rsidRPr="00D04D47">
        <w:t>soll proportional zur Grösse der beteiligten Truppen verteilt werden</w:t>
      </w:r>
      <w:r w:rsidR="00D04D47">
        <w:t xml:space="preserve"> (Walder 1994, </w:t>
      </w:r>
      <w:r w:rsidR="00C27890">
        <w:t xml:space="preserve">S. </w:t>
      </w:r>
      <w:r w:rsidR="00D04D47">
        <w:t>166).</w:t>
      </w:r>
    </w:p>
    <w:p w14:paraId="67AC4900" w14:textId="328A7E45" w:rsidR="008F0A88" w:rsidRDefault="0085223E" w:rsidP="005D4986">
      <w:pPr>
        <w:jc w:val="both"/>
      </w:pPr>
      <w:r>
        <w:t xml:space="preserve">In der Historiographie werden die Verträge von Stans seit 1481 sehr unterschiedlich bewertet. </w:t>
      </w:r>
      <w:r w:rsidR="00C27890">
        <w:t>Gemäss Bernhard Stettler</w:t>
      </w:r>
      <w:r>
        <w:t xml:space="preserve"> </w:t>
      </w:r>
      <w:r w:rsidR="008F0A88">
        <w:t xml:space="preserve">ist das Stanser Verkommnis am besten als Ausdruck </w:t>
      </w:r>
      <w:r w:rsidR="00E32E00">
        <w:t xml:space="preserve">eines </w:t>
      </w:r>
      <w:r w:rsidR="00A41353">
        <w:t>po</w:t>
      </w:r>
      <w:r w:rsidR="008F0A88">
        <w:t>litischen Pragmatismus zu verstehen</w:t>
      </w:r>
      <w:r w:rsidR="0015529D">
        <w:t>.</w:t>
      </w:r>
      <w:r w:rsidR="00D14BB8">
        <w:t xml:space="preserve"> Die Gesandten </w:t>
      </w:r>
      <w:r w:rsidR="00737281">
        <w:t>der eidgenössischen Orte</w:t>
      </w:r>
      <w:r w:rsidR="00D14BB8">
        <w:t xml:space="preserve"> hatten eingesehen, dass ein </w:t>
      </w:r>
      <w:commentRangeStart w:id="3"/>
      <w:r w:rsidR="00D14BB8">
        <w:t>«auch nur halbwegs erträgliches Zusammenleben für die Städte- wie auch Länderorte existenznotwendig war»</w:t>
      </w:r>
      <w:commentRangeEnd w:id="3"/>
      <w:r w:rsidR="00AF037C">
        <w:rPr>
          <w:rStyle w:val="Kommentarzeichen"/>
        </w:rPr>
        <w:commentReference w:id="3"/>
      </w:r>
      <w:r w:rsidR="00D14BB8">
        <w:t>.</w:t>
      </w:r>
      <w:r w:rsidR="0015529D">
        <w:t xml:space="preserve"> </w:t>
      </w:r>
      <w:r w:rsidR="00C95FBB">
        <w:t xml:space="preserve">Die Länderorte hatten durchgesetzt, dass der Städtebund aufgelöst wurde, während </w:t>
      </w:r>
      <w:r w:rsidR="00D14BB8">
        <w:t>Freiburg und Solothurn Sinne der Städte in die Eidgenossenschaft aufgenommen wurden, wenn auch als Zuzüger minderen Rechts</w:t>
      </w:r>
      <w:r>
        <w:t xml:space="preserve"> </w:t>
      </w:r>
      <w:r w:rsidR="00F1400F">
        <w:t xml:space="preserve">(Stettler 2004, </w:t>
      </w:r>
      <w:r w:rsidR="000F2B5D">
        <w:t xml:space="preserve">S. </w:t>
      </w:r>
      <w:r w:rsidR="00F1400F">
        <w:t>306-307)</w:t>
      </w:r>
      <w:r w:rsidR="00B4457B">
        <w:t>.</w:t>
      </w:r>
      <w:r w:rsidR="00B4457B" w:rsidRPr="00B4457B">
        <w:t xml:space="preserve"> </w:t>
      </w:r>
    </w:p>
    <w:p w14:paraId="575CA328" w14:textId="26E9C59F" w:rsidR="00F1400F" w:rsidRDefault="00CB0011" w:rsidP="00F1400F">
      <w:pPr>
        <w:jc w:val="both"/>
      </w:pPr>
      <w:r>
        <w:t xml:space="preserve">Das vorliegende </w:t>
      </w:r>
      <w:r w:rsidR="009C3ECA">
        <w:t xml:space="preserve">Exemplar </w:t>
      </w:r>
      <w:r>
        <w:t>ist ein</w:t>
      </w:r>
      <w:r w:rsidR="000F0D74">
        <w:t>e</w:t>
      </w:r>
      <w:r w:rsidR="005D4986">
        <w:t>s</w:t>
      </w:r>
      <w:r w:rsidR="000F0D74">
        <w:t xml:space="preserve"> von </w:t>
      </w:r>
      <w:commentRangeStart w:id="4"/>
      <w:r w:rsidR="000F0D74">
        <w:t>s</w:t>
      </w:r>
      <w:r w:rsidR="005D4986">
        <w:t>ieben</w:t>
      </w:r>
      <w:commentRangeEnd w:id="4"/>
      <w:r w:rsidR="002E385D">
        <w:rPr>
          <w:rStyle w:val="Kommentarzeichen"/>
        </w:rPr>
        <w:commentReference w:id="4"/>
      </w:r>
      <w:r w:rsidR="000F0D74">
        <w:t xml:space="preserve"> überlieferten </w:t>
      </w:r>
      <w:r w:rsidR="009C3ECA">
        <w:t>Ausfertigungen des Stanser Verkommnisses</w:t>
      </w:r>
      <w:r w:rsidR="000F0D74">
        <w:t xml:space="preserve">, wovon je eines </w:t>
      </w:r>
      <w:r w:rsidR="005D4986">
        <w:t xml:space="preserve">in </w:t>
      </w:r>
      <w:r w:rsidR="000F0D74">
        <w:t xml:space="preserve">den Staatsarchiven der Kantone </w:t>
      </w:r>
      <w:r w:rsidR="00186BCE">
        <w:t xml:space="preserve">Zürich, </w:t>
      </w:r>
      <w:r w:rsidR="000F0D74">
        <w:t>Bern, Schwyz, Obwalden</w:t>
      </w:r>
      <w:r w:rsidR="005D4986">
        <w:t>, Nidwalden (</w:t>
      </w:r>
      <w:proofErr w:type="spellStart"/>
      <w:r w:rsidR="005D4986">
        <w:t>unbesiegelte</w:t>
      </w:r>
      <w:proofErr w:type="spellEnd"/>
      <w:r w:rsidR="005D4986">
        <w:t xml:space="preserve"> Originalausfertigung) </w:t>
      </w:r>
      <w:r w:rsidR="000F0D74">
        <w:t>und Zug sowie im Bürgerarchiv des Kantons Zug und im Landesarchiv des Kanton</w:t>
      </w:r>
      <w:r w:rsidR="00622512">
        <w:t>s</w:t>
      </w:r>
      <w:r w:rsidR="000F0D74">
        <w:t xml:space="preserve"> Glarus aufbewahrt </w:t>
      </w:r>
      <w:r w:rsidR="002E385D">
        <w:t>wird</w:t>
      </w:r>
      <w:r w:rsidR="000F0D74">
        <w:t>. Die</w:t>
      </w:r>
      <w:r w:rsidR="009C3ECA">
        <w:t xml:space="preserve"> Exemplare</w:t>
      </w:r>
      <w:r w:rsidR="000F0D74">
        <w:t xml:space="preserve"> für Luzern und Uri sind verloren.</w:t>
      </w:r>
      <w:r w:rsidR="005D4986">
        <w:t xml:space="preserve"> </w:t>
      </w:r>
      <w:r w:rsidR="009C3ECA">
        <w:t>Nach der endgültigen Einigung an der Tagsatzung von Stans wurde</w:t>
      </w:r>
      <w:r w:rsidR="00EA3F38">
        <w:t xml:space="preserve"> nicht Stans selbst, sondern die </w:t>
      </w:r>
      <w:r w:rsidR="00622512">
        <w:t xml:space="preserve">Kanzlei in </w:t>
      </w:r>
      <w:r w:rsidR="00EA3F38">
        <w:t>Luzer</w:t>
      </w:r>
      <w:r w:rsidR="00622512">
        <w:t>n</w:t>
      </w:r>
      <w:r w:rsidR="009C3ECA">
        <w:t xml:space="preserve"> mit der Herstellung der Urkunden beauftragt. Für </w:t>
      </w:r>
      <w:r w:rsidR="00622512">
        <w:t xml:space="preserve">die aufwändige Arbeit – neben dem Stanser Verkommnis wurden </w:t>
      </w:r>
      <w:r w:rsidR="00F1400F">
        <w:t xml:space="preserve">in derselben Zeit </w:t>
      </w:r>
      <w:r w:rsidR="00622512">
        <w:t>auch mehrere Ausfertigungen der Verträge mit Freiburg und Solothurn hergestellt –</w:t>
      </w:r>
      <w:r w:rsidR="00EA3F38">
        <w:t xml:space="preserve"> </w:t>
      </w:r>
      <w:r w:rsidR="009C3ECA">
        <w:t xml:space="preserve">wurden </w:t>
      </w:r>
      <w:r w:rsidR="00EA3F38">
        <w:t xml:space="preserve">sowohl eigene Schreiber als auch solche aus benachbarten Orten </w:t>
      </w:r>
      <w:r w:rsidR="00622512">
        <w:t xml:space="preserve">engagiert. </w:t>
      </w:r>
      <w:r w:rsidR="00F1400F">
        <w:t xml:space="preserve">Trotz der unterschiedlichen Schreiber sind alle überlieferten Exemplare bis auf kleinere orthografische Abweichungen und die </w:t>
      </w:r>
      <w:r w:rsidR="00F1400F">
        <w:lastRenderedPageBreak/>
        <w:t xml:space="preserve">Ausgestaltung der Initialen bemerkenswert ähnlich. </w:t>
      </w:r>
      <w:r w:rsidR="009C3ECA">
        <w:t xml:space="preserve">Es diente wohl ein offizieller Entwurf als Vorlage für alle Ausfertigungen </w:t>
      </w:r>
      <w:r w:rsidR="0087643D">
        <w:t xml:space="preserve">(Leisibach/King 1981, </w:t>
      </w:r>
      <w:r w:rsidR="00F77C1F">
        <w:t xml:space="preserve">S. </w:t>
      </w:r>
      <w:r w:rsidR="0087643D">
        <w:t>11-12).</w:t>
      </w:r>
    </w:p>
    <w:p w14:paraId="45D9AF8A" w14:textId="5AD38C66" w:rsidR="00681FF8" w:rsidRDefault="00622512" w:rsidP="005D4986">
      <w:pPr>
        <w:jc w:val="both"/>
      </w:pPr>
      <w:r>
        <w:t>Josef Leisibach identifiziert</w:t>
      </w:r>
      <w:r w:rsidR="0022219C">
        <w:t xml:space="preserve"> als Schreiber</w:t>
      </w:r>
      <w:r>
        <w:t xml:space="preserve"> </w:t>
      </w:r>
      <w:r w:rsidR="0040246F">
        <w:t xml:space="preserve">einerseits </w:t>
      </w:r>
      <w:r>
        <w:t>den Landschreiber von Obwalden für die Exemplare in Bern und Obwalden</w:t>
      </w:r>
      <w:r w:rsidR="0040246F">
        <w:t xml:space="preserve"> und andererseits den Landschreiber von Schwyz für die Exemplare in </w:t>
      </w:r>
      <w:r w:rsidR="00F1400F">
        <w:t>Schwyz und</w:t>
      </w:r>
      <w:r w:rsidR="0040246F">
        <w:t xml:space="preserve"> Glarus. Ein wahrscheinlich in Luzern tätiger, von Leisibach als </w:t>
      </w:r>
      <w:commentRangeStart w:id="5"/>
      <w:r w:rsidR="0040246F">
        <w:t>«Zürcher Schreiber»</w:t>
      </w:r>
      <w:commentRangeEnd w:id="5"/>
      <w:r w:rsidR="00D64444">
        <w:rPr>
          <w:rStyle w:val="Kommentarzeichen"/>
        </w:rPr>
        <w:commentReference w:id="5"/>
      </w:r>
      <w:r w:rsidR="0040246F">
        <w:t xml:space="preserve"> betitelter Schreiber fertigte das </w:t>
      </w:r>
      <w:r w:rsidR="002A0600">
        <w:t xml:space="preserve">Zürcher </w:t>
      </w:r>
      <w:r w:rsidR="0040246F">
        <w:t xml:space="preserve">Exemplar. </w:t>
      </w:r>
      <w:r>
        <w:t>Als prominente Schreiber stechen</w:t>
      </w:r>
      <w:r w:rsidR="0040246F">
        <w:t xml:space="preserve"> die beiden berühmten Chronisten</w:t>
      </w:r>
      <w:r>
        <w:t xml:space="preserve"> Melchior Russ der Jüngere (</w:t>
      </w:r>
      <w:proofErr w:type="spellStart"/>
      <w:r>
        <w:t>unbesiegeltes</w:t>
      </w:r>
      <w:proofErr w:type="spellEnd"/>
      <w:r>
        <w:t xml:space="preserve"> </w:t>
      </w:r>
      <w:r w:rsidR="002A0600">
        <w:t xml:space="preserve">Nidwaldner </w:t>
      </w:r>
      <w:r>
        <w:t xml:space="preserve">Exemplar) und Diebold Schilling (Zuger Exemplar) hervor. Beide waren seit 1479 als Schreiber beziehungsweise Schreibergehilfen in der Luzerner Kanzlei tätig. </w:t>
      </w:r>
      <w:r w:rsidR="002A0600">
        <w:t xml:space="preserve">Schilling selbst berichtet in seiner Chronik von seiner Beteiligung an der Tagsatzung von Stans 1481 </w:t>
      </w:r>
      <w:r w:rsidR="0040246F">
        <w:t>(Leisibach/King 1981</w:t>
      </w:r>
      <w:r w:rsidR="002A0600">
        <w:t xml:space="preserve">, </w:t>
      </w:r>
      <w:r w:rsidR="00D64444">
        <w:t xml:space="preserve">S. </w:t>
      </w:r>
      <w:r w:rsidR="002A0600">
        <w:t>1</w:t>
      </w:r>
      <w:r w:rsidR="0087643D">
        <w:t>2</w:t>
      </w:r>
      <w:r w:rsidR="002A0600">
        <w:t>-14</w:t>
      </w:r>
      <w:r w:rsidR="0040246F">
        <w:t>)</w:t>
      </w:r>
      <w:r w:rsidR="002A0600">
        <w:t>.</w:t>
      </w:r>
    </w:p>
    <w:p w14:paraId="1155BAA3" w14:textId="416912E9" w:rsidR="002A0600" w:rsidRDefault="002A0600" w:rsidP="005D4986">
      <w:pPr>
        <w:jc w:val="both"/>
      </w:pPr>
      <w:r>
        <w:t xml:space="preserve">Die Luzerner Kanzlei </w:t>
      </w:r>
      <w:r w:rsidR="00F1400F">
        <w:t>übernahm</w:t>
      </w:r>
      <w:r>
        <w:t xml:space="preserve"> </w:t>
      </w:r>
      <w:r w:rsidR="004855B6">
        <w:t xml:space="preserve">auch </w:t>
      </w:r>
      <w:r>
        <w:t xml:space="preserve">die Verantwortung für die Organisation der aufwändigen und kostspieligen Besieglung der </w:t>
      </w:r>
      <w:r w:rsidR="008C50FA">
        <w:t>Urkunden, für die die acht Exemplare in die jeweiligen Orte getragen werden mussten. I</w:t>
      </w:r>
      <w:r>
        <w:t>m Abschied von Stans</w:t>
      </w:r>
      <w:r w:rsidR="008C50FA">
        <w:t xml:space="preserve"> finden sich </w:t>
      </w:r>
      <w:r>
        <w:t>Anweisungen darüber, das</w:t>
      </w:r>
      <w:r w:rsidR="008C50FA">
        <w:t xml:space="preserve">s jeweils der kürzeste Weg zu den Orten eigeschlagen werden sollte. Die hohen Kosten der Schreibarbeit und Botengänge trugen die </w:t>
      </w:r>
      <w:r w:rsidR="00F1400F">
        <w:t xml:space="preserve">eidgenössischen </w:t>
      </w:r>
      <w:r w:rsidR="008C50FA">
        <w:t>Orte</w:t>
      </w:r>
      <w:r w:rsidR="00F1400F">
        <w:t xml:space="preserve"> jeweils selbst</w:t>
      </w:r>
      <w:r w:rsidR="0087643D">
        <w:t xml:space="preserve"> (Leisibach/King 1981, </w:t>
      </w:r>
      <w:r w:rsidR="00801B39">
        <w:t xml:space="preserve">S. </w:t>
      </w:r>
      <w:r w:rsidR="0087643D">
        <w:t>14-15).</w:t>
      </w:r>
    </w:p>
    <w:p w14:paraId="3DD9C1E1" w14:textId="1B68D3F4" w:rsidR="00681FF8" w:rsidRDefault="00681FF8" w:rsidP="00D86C19">
      <w:r>
        <w:t>Zu den politischen Hintergründen des Stanser Verkommnisses vgl. Stettler 2004; Walder 1994;</w:t>
      </w:r>
      <w:r w:rsidR="00F1400F">
        <w:t xml:space="preserve"> </w:t>
      </w:r>
      <w:commentRangeStart w:id="6"/>
      <w:r w:rsidR="00F1400F">
        <w:t>HLS</w:t>
      </w:r>
      <w:commentRangeEnd w:id="6"/>
      <w:r w:rsidR="0037059F">
        <w:rPr>
          <w:rStyle w:val="Kommentarzeichen"/>
        </w:rPr>
        <w:commentReference w:id="6"/>
      </w:r>
      <w:r w:rsidR="00F1400F">
        <w:t xml:space="preserve">; zur Ausfertigung und Überlieferung vgl. Leisibach/King 1981. </w:t>
      </w:r>
    </w:p>
    <w:p w14:paraId="0C95BB1D" w14:textId="77777777" w:rsidR="00CA1E1D" w:rsidRDefault="00CA1E1D" w:rsidP="00D86C19"/>
    <w:sectPr w:rsidR="00CA1E1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ainer Hugener" w:date="2026-03-12T16:30:00Z" w:initials="RH">
    <w:p w14:paraId="5F7E1712" w14:textId="77777777" w:rsidR="00B14CD2" w:rsidRDefault="00B14CD2" w:rsidP="00B14CD2">
      <w:pPr>
        <w:pStyle w:val="Kommentartext"/>
      </w:pPr>
      <w:r>
        <w:rPr>
          <w:rStyle w:val="Kommentarzeichen"/>
        </w:rPr>
        <w:annotationRef/>
      </w:r>
      <w:r>
        <w:t>Link auf VE in Query als &lt;ref&gt;</w:t>
      </w:r>
    </w:p>
  </w:comment>
  <w:comment w:id="1" w:author="Rainer Hugener" w:date="2026-03-12T16:53:00Z" w:initials="RH">
    <w:p w14:paraId="4A515B85" w14:textId="77777777" w:rsidR="006024B3" w:rsidRDefault="006024B3" w:rsidP="006024B3">
      <w:pPr>
        <w:pStyle w:val="Kommentartext"/>
      </w:pPr>
      <w:r>
        <w:rPr>
          <w:rStyle w:val="Kommentarzeichen"/>
        </w:rPr>
        <w:annotationRef/>
      </w:r>
      <w:r>
        <w:t xml:space="preserve">Literaturangaben jeweils mit &lt;bibl&gt; und &lt;ref&gt;, vgl. Dokument </w:t>
      </w:r>
      <w:hyperlink r:id="rId1" w:history="1">
        <w:r w:rsidRPr="00CC70FF">
          <w:rPr>
            <w:rStyle w:val="Hyperlink"/>
          </w:rPr>
          <w:t>Sonderzeichen</w:t>
        </w:r>
      </w:hyperlink>
      <w:r>
        <w:t xml:space="preserve"> </w:t>
      </w:r>
    </w:p>
  </w:comment>
  <w:comment w:id="2" w:author="Rainer Hugener" w:date="2026-03-12T16:21:00Z" w:initials="RH">
    <w:p w14:paraId="3678D205" w14:textId="16061223" w:rsidR="00C27890" w:rsidRDefault="00C27890" w:rsidP="00C27890">
      <w:pPr>
        <w:pStyle w:val="Kommentartext"/>
      </w:pPr>
      <w:r>
        <w:rPr>
          <w:rStyle w:val="Kommentarzeichen"/>
        </w:rPr>
        <w:annotationRef/>
      </w:r>
      <w:r>
        <w:t>Anführungszeichen in XML als &lt;q&gt;</w:t>
      </w:r>
    </w:p>
  </w:comment>
  <w:comment w:id="3" w:author="Rainer Hugener" w:date="2026-03-12T16:29:00Z" w:initials="RH">
    <w:p w14:paraId="64C501D5" w14:textId="77777777" w:rsidR="00AF037C" w:rsidRDefault="00AF037C" w:rsidP="00AF037C">
      <w:pPr>
        <w:pStyle w:val="Kommentartext"/>
      </w:pPr>
      <w:r>
        <w:rPr>
          <w:rStyle w:val="Kommentarzeichen"/>
        </w:rPr>
        <w:annotationRef/>
      </w:r>
      <w:r>
        <w:t>&lt;q&gt;</w:t>
      </w:r>
    </w:p>
  </w:comment>
  <w:comment w:id="4" w:author="Rainer Hugener" w:date="2026-03-12T16:35:00Z" w:initials="RH">
    <w:p w14:paraId="79E67256" w14:textId="77777777" w:rsidR="002E385D" w:rsidRDefault="002E385D" w:rsidP="002E385D">
      <w:pPr>
        <w:pStyle w:val="Kommentartext"/>
      </w:pPr>
      <w:r>
        <w:rPr>
          <w:rStyle w:val="Kommentarzeichen"/>
        </w:rPr>
        <w:annotationRef/>
      </w:r>
      <w:r>
        <w:t>Bei dieser Zahl bin ich unsicher: Mit dem Zürcher Exemplar sind es doch 8?</w:t>
      </w:r>
    </w:p>
  </w:comment>
  <w:comment w:id="5" w:author="Rainer Hugener" w:date="2026-03-12T16:47:00Z" w:initials="RH">
    <w:p w14:paraId="2BDAA7DF" w14:textId="77777777" w:rsidR="00D64444" w:rsidRDefault="00D64444" w:rsidP="00D64444">
      <w:pPr>
        <w:pStyle w:val="Kommentartext"/>
      </w:pPr>
      <w:r>
        <w:rPr>
          <w:rStyle w:val="Kommentarzeichen"/>
        </w:rPr>
        <w:annotationRef/>
      </w:r>
      <w:r>
        <w:t>&lt;q&gt;</w:t>
      </w:r>
    </w:p>
  </w:comment>
  <w:comment w:id="6" w:author="Rainer Hugener" w:date="2026-03-12T16:50:00Z" w:initials="RH">
    <w:p w14:paraId="3249CCAF" w14:textId="77777777" w:rsidR="0037059F" w:rsidRDefault="0037059F" w:rsidP="0037059F">
      <w:pPr>
        <w:pStyle w:val="Kommentartext"/>
      </w:pPr>
      <w:r>
        <w:rPr>
          <w:rStyle w:val="Kommentarzeichen"/>
        </w:rPr>
        <w:annotationRef/>
      </w:r>
      <w:r>
        <w:t>Link auf HLS mit &lt;ref&gt;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F7E1712" w15:done="0"/>
  <w15:commentEx w15:paraId="4A515B85" w15:done="0"/>
  <w15:commentEx w15:paraId="3678D205" w15:done="0"/>
  <w15:commentEx w15:paraId="64C501D5" w15:done="0"/>
  <w15:commentEx w15:paraId="79E67256" w15:done="0"/>
  <w15:commentEx w15:paraId="2BDAA7DF" w15:done="0"/>
  <w15:commentEx w15:paraId="3249CCA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2C441AB" w16cex:dateUtc="2026-03-12T15:30:00Z"/>
  <w16cex:commentExtensible w16cex:durableId="20B29053" w16cex:dateUtc="2026-03-12T15:53:00Z"/>
  <w16cex:commentExtensible w16cex:durableId="08A2D0C3" w16cex:dateUtc="2026-03-12T15:21:00Z"/>
  <w16cex:commentExtensible w16cex:durableId="469581B9" w16cex:dateUtc="2026-03-12T15:29:00Z"/>
  <w16cex:commentExtensible w16cex:durableId="1DF4EE5A" w16cex:dateUtc="2026-03-12T15:35:00Z"/>
  <w16cex:commentExtensible w16cex:durableId="1856D1A7" w16cex:dateUtc="2026-03-12T15:47:00Z"/>
  <w16cex:commentExtensible w16cex:durableId="78499FAA" w16cex:dateUtc="2026-03-12T15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F7E1712" w16cid:durableId="12C441AB"/>
  <w16cid:commentId w16cid:paraId="4A515B85" w16cid:durableId="20B29053"/>
  <w16cid:commentId w16cid:paraId="3678D205" w16cid:durableId="08A2D0C3"/>
  <w16cid:commentId w16cid:paraId="64C501D5" w16cid:durableId="469581B9"/>
  <w16cid:commentId w16cid:paraId="79E67256" w16cid:durableId="1DF4EE5A"/>
  <w16cid:commentId w16cid:paraId="2BDAA7DF" w16cid:durableId="1856D1A7"/>
  <w16cid:commentId w16cid:paraId="3249CCAF" w16cid:durableId="78499FA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D2F43"/>
    <w:multiLevelType w:val="hybridMultilevel"/>
    <w:tmpl w:val="3E489F98"/>
    <w:lvl w:ilvl="0" w:tplc="5E3C87E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79182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iner Hugener">
    <w15:presenceInfo w15:providerId="AD" w15:userId="S::rainer.hugener@zh.ch::c883568f-659c-4a78-9443-2ca20e3767c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47B"/>
    <w:rsid w:val="000338DC"/>
    <w:rsid w:val="000E007B"/>
    <w:rsid w:val="000F0D74"/>
    <w:rsid w:val="000F2B5D"/>
    <w:rsid w:val="0013203B"/>
    <w:rsid w:val="0015529D"/>
    <w:rsid w:val="001731B4"/>
    <w:rsid w:val="001740B2"/>
    <w:rsid w:val="00186BCE"/>
    <w:rsid w:val="001B66A8"/>
    <w:rsid w:val="001B7541"/>
    <w:rsid w:val="002055FB"/>
    <w:rsid w:val="00214885"/>
    <w:rsid w:val="0022219C"/>
    <w:rsid w:val="00233582"/>
    <w:rsid w:val="00252977"/>
    <w:rsid w:val="002A0600"/>
    <w:rsid w:val="002A21FC"/>
    <w:rsid w:val="002B5171"/>
    <w:rsid w:val="002E385D"/>
    <w:rsid w:val="00306EAA"/>
    <w:rsid w:val="00347291"/>
    <w:rsid w:val="00355CF4"/>
    <w:rsid w:val="0037059F"/>
    <w:rsid w:val="003763D9"/>
    <w:rsid w:val="00380B32"/>
    <w:rsid w:val="00392FFD"/>
    <w:rsid w:val="0040246F"/>
    <w:rsid w:val="00457C17"/>
    <w:rsid w:val="00473C73"/>
    <w:rsid w:val="004855B6"/>
    <w:rsid w:val="00582CEC"/>
    <w:rsid w:val="005A6FAD"/>
    <w:rsid w:val="005D4986"/>
    <w:rsid w:val="005F510E"/>
    <w:rsid w:val="006024B3"/>
    <w:rsid w:val="00622512"/>
    <w:rsid w:val="00663260"/>
    <w:rsid w:val="00681FF8"/>
    <w:rsid w:val="0069147B"/>
    <w:rsid w:val="006E2D97"/>
    <w:rsid w:val="00737281"/>
    <w:rsid w:val="007D6354"/>
    <w:rsid w:val="00801B39"/>
    <w:rsid w:val="00815C24"/>
    <w:rsid w:val="00840B95"/>
    <w:rsid w:val="0085223E"/>
    <w:rsid w:val="008524F3"/>
    <w:rsid w:val="0087643D"/>
    <w:rsid w:val="00887609"/>
    <w:rsid w:val="008C35F3"/>
    <w:rsid w:val="008C50FA"/>
    <w:rsid w:val="008F0A88"/>
    <w:rsid w:val="00910EE7"/>
    <w:rsid w:val="009501FA"/>
    <w:rsid w:val="009C3ECA"/>
    <w:rsid w:val="00A00D38"/>
    <w:rsid w:val="00A11A9E"/>
    <w:rsid w:val="00A41353"/>
    <w:rsid w:val="00AF037C"/>
    <w:rsid w:val="00B14CD2"/>
    <w:rsid w:val="00B36627"/>
    <w:rsid w:val="00B4457B"/>
    <w:rsid w:val="00BA753F"/>
    <w:rsid w:val="00C27890"/>
    <w:rsid w:val="00C95FBB"/>
    <w:rsid w:val="00C976C8"/>
    <w:rsid w:val="00CA1E1D"/>
    <w:rsid w:val="00CB0011"/>
    <w:rsid w:val="00CB5394"/>
    <w:rsid w:val="00CE71D8"/>
    <w:rsid w:val="00D04D47"/>
    <w:rsid w:val="00D14BB8"/>
    <w:rsid w:val="00D64444"/>
    <w:rsid w:val="00D86C19"/>
    <w:rsid w:val="00E32E00"/>
    <w:rsid w:val="00EA3F38"/>
    <w:rsid w:val="00ED4F4C"/>
    <w:rsid w:val="00F1400F"/>
    <w:rsid w:val="00F7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14E260"/>
  <w15:chartTrackingRefBased/>
  <w15:docId w15:val="{8F884AAD-D69E-4186-A812-D6CCF91D0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91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91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91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91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91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91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91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91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91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91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91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91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9147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9147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9147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9147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9147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914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91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91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91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91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91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9147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914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914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91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9147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914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11A9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11A9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C3EC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9C3EC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C3EC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C3EC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C3ECA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CB539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kalaxiomaji://a8e52438fd5a4b9b8db8585c6019733e?tenant=axiomaji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ls-dhs-dss.ch/de/articles/009803/2010-09-27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b6d1c10-a186-47ab-af91-cdbff51004f3}" enabled="1" method="Standard" siteId="{a020d0ae-094a-4d44-b66c-ac3fe8e90c5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Dobiess</dc:creator>
  <cp:keywords/>
  <dc:description/>
  <cp:lastModifiedBy>Helena Dobiess</cp:lastModifiedBy>
  <cp:revision>26</cp:revision>
  <dcterms:created xsi:type="dcterms:W3CDTF">2026-03-04T13:00:00Z</dcterms:created>
  <dcterms:modified xsi:type="dcterms:W3CDTF">2026-03-27T16:03:00Z</dcterms:modified>
</cp:coreProperties>
</file>