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주주간계약서</w:t>
      </w:r>
    </w:p>
    <w:p>
      <w:pPr>
        <w:jc w:val="center"/>
      </w:pPr>
      <w:r>
        <w:rPr>
          <w:rFonts w:ascii="맑은 고딕" w:hAnsi="맑은 고딕"/>
          <w:b/>
          <w:sz w:val="22"/>
        </w:rPr>
        <w:t>Shareholders Agreement</w:t>
      </w:r>
    </w:p>
    <w:p/>
    <w:p>
      <w:r>
        <w:rPr>
          <w:rFonts w:ascii="맑은 고딕" w:hAnsi="맑은 고딕"/>
          <w:b w:val="0"/>
          <w:sz w:val="22"/>
        </w:rPr>
        <w:t>본 계약은 아래 주주들이 회사 경영 및 주식에 관한 사항을 정하기 위하여 체결한다.</w:t>
      </w:r>
    </w:p>
    <w:p/>
    <w:p>
      <w:r>
        <w:rPr>
          <w:rFonts w:ascii="맑은 고딕" w:hAnsi="맑은 고딕"/>
          <w:b/>
          <w:color w:val="1E50A0"/>
          <w:sz w:val="24"/>
        </w:rPr>
        <w:t>■ 회사 정보</w:t>
      </w:r>
    </w:p>
    <w:p>
      <w:r>
        <w:rPr>
          <w:rFonts w:ascii="맑은 고딕" w:hAnsi="맑은 고딕"/>
          <w:b w:val="0"/>
          <w:sz w:val="22"/>
        </w:rPr>
        <w:t xml:space="preserve">  회사명: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사업자등록번호: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주소: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설립일:  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주주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주주명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지분율 (%)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주식 수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/>
                <w:sz w:val="20"/>
              </w:rPr>
              <w:t>주식 종류</w:t>
            </w:r>
          </w:p>
        </w:tc>
      </w:tr>
      <w:tr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</w:tbl>
    <w:p/>
    <w:p>
      <w:r>
        <w:rPr>
          <w:rFonts w:ascii="맑은 고딕" w:hAnsi="맑은 고딕"/>
          <w:b/>
          <w:color w:val="1E50A0"/>
          <w:sz w:val="24"/>
        </w:rPr>
        <w:t>■ 제1조 (경영 참여)</w:t>
      </w:r>
    </w:p>
    <w:p>
      <w:r>
        <w:rPr>
          <w:rFonts w:ascii="맑은 고딕" w:hAnsi="맑은 고딕"/>
          <w:b w:val="0"/>
          <w:sz w:val="22"/>
        </w:rPr>
        <w:t>이사회는 총 ___ 명으로 구성하며, 각 주주의 이사 지명권은 다음과 같다.</w:t>
      </w:r>
    </w:p>
    <w:p>
      <w:r>
        <w:rPr>
          <w:rFonts w:ascii="맑은 고딕" w:hAnsi="맑은 고딕"/>
          <w:b w:val="0"/>
          <w:sz w:val="22"/>
        </w:rPr>
        <w:t>대주주 ( _______% 이상): ___ 명 지명 / 소수주주: ___ 명 지명</w:t>
      </w:r>
    </w:p>
    <w:p/>
    <w:p>
      <w:r>
        <w:rPr>
          <w:rFonts w:ascii="맑은 고딕" w:hAnsi="맑은 고딕"/>
          <w:b/>
          <w:color w:val="1E50A0"/>
          <w:sz w:val="24"/>
        </w:rPr>
        <w:t>■ 제2조 (주요 의사결정 사항)</w:t>
      </w:r>
    </w:p>
    <w:p>
      <w:r>
        <w:rPr>
          <w:rFonts w:ascii="맑은 고딕" w:hAnsi="맑은 고딕"/>
          <w:b w:val="0"/>
          <w:sz w:val="22"/>
        </w:rPr>
        <w:t>다음 사항은 주주 전원의 동의 또는 지분 ___% 이상의 찬성을 요한다:</w:t>
      </w:r>
    </w:p>
    <w:p>
      <w:r>
        <w:rPr>
          <w:rFonts w:ascii="맑은 고딕" w:hAnsi="맑은 고딕"/>
          <w:b w:val="0"/>
          <w:sz w:val="22"/>
        </w:rPr>
        <w:t xml:space="preserve">  ① 정관 변경</w:t>
      </w:r>
    </w:p>
    <w:p>
      <w:r>
        <w:rPr>
          <w:rFonts w:ascii="맑은 고딕" w:hAnsi="맑은 고딕"/>
          <w:b w:val="0"/>
          <w:sz w:val="22"/>
        </w:rPr>
        <w:t xml:space="preserve">  ② 자본금 증·감</w:t>
      </w:r>
    </w:p>
    <w:p>
      <w:r>
        <w:rPr>
          <w:rFonts w:ascii="맑은 고딕" w:hAnsi="맑은 고딕"/>
          <w:b w:val="0"/>
          <w:sz w:val="22"/>
        </w:rPr>
        <w:t xml:space="preserve">  ③ 합병·분할·해산</w:t>
      </w:r>
    </w:p>
    <w:p>
      <w:r>
        <w:rPr>
          <w:rFonts w:ascii="맑은 고딕" w:hAnsi="맑은 고딕"/>
          <w:b w:val="0"/>
          <w:sz w:val="22"/>
        </w:rPr>
        <w:t xml:space="preserve">  ④ 신주 발행 및 전환사채 발행</w:t>
      </w:r>
    </w:p>
    <w:p>
      <w:r>
        <w:rPr>
          <w:rFonts w:ascii="맑은 고딕" w:hAnsi="맑은 고딕"/>
          <w:b w:val="0"/>
          <w:sz w:val="22"/>
        </w:rPr>
        <w:t xml:space="preserve">  ⑤ 자산의 처분 (총자산의 ___% 초과)</w:t>
      </w:r>
    </w:p>
    <w:p>
      <w:r>
        <w:rPr>
          <w:rFonts w:ascii="맑은 고딕" w:hAnsi="맑은 고딕"/>
          <w:b w:val="0"/>
          <w:sz w:val="22"/>
        </w:rPr>
        <w:t xml:space="preserve">  ⑥ 대표이사 선임·해임</w:t>
      </w:r>
    </w:p>
    <w:p/>
    <w:p>
      <w:r>
        <w:rPr>
          <w:rFonts w:ascii="맑은 고딕" w:hAnsi="맑은 고딕"/>
          <w:b/>
          <w:color w:val="1E50A0"/>
          <w:sz w:val="24"/>
        </w:rPr>
        <w:t>■ 제3조 (우선 매수권)</w:t>
      </w:r>
    </w:p>
    <w:p>
      <w:r>
        <w:rPr>
          <w:rFonts w:ascii="맑은 고딕" w:hAnsi="맑은 고딕"/>
          <w:b w:val="0"/>
          <w:sz w:val="22"/>
        </w:rPr>
        <w:t>주주가 주식을 제3자에게 양도하려는 경우, 다른 주주는 동일 조건으로 우선 매수할 권리를 갖는다.</w:t>
      </w:r>
    </w:p>
    <w:p>
      <w:r>
        <w:rPr>
          <w:rFonts w:ascii="맑은 고딕" w:hAnsi="맑은 고딕"/>
          <w:b w:val="0"/>
          <w:sz w:val="22"/>
        </w:rPr>
        <w:t>우선 매수 의사 통보 기간: 양도 통지 수령 후  ___  일 이내</w:t>
      </w:r>
    </w:p>
    <w:p/>
    <w:p>
      <w:r>
        <w:rPr>
          <w:rFonts w:ascii="맑은 고딕" w:hAnsi="맑은 고딕"/>
          <w:b/>
          <w:color w:val="1E50A0"/>
          <w:sz w:val="24"/>
        </w:rPr>
        <w:t>■ 제4조 (공동 매도권 및 동반 매도 청구권)</w:t>
      </w:r>
    </w:p>
    <w:p>
      <w:r>
        <w:rPr>
          <w:rFonts w:ascii="맑은 고딕" w:hAnsi="맑은 고딕"/>
          <w:b w:val="0"/>
          <w:sz w:val="22"/>
        </w:rPr>
        <w:t>대주주가 주식을 제3자에게 매도할 경우, 소수주주는 동일 조건으로 공동 매도에 참여할 수 있다.</w:t>
      </w:r>
    </w:p>
    <w:p>
      <w:r>
        <w:rPr>
          <w:rFonts w:ascii="맑은 고딕" w:hAnsi="맑은 고딕"/>
          <w:b w:val="0"/>
          <w:sz w:val="22"/>
        </w:rPr>
        <w:t>대주주는 소수주주에게 동반 매도를 청구할 수 있다 (동반 매도 청구권, Drag-along).</w:t>
      </w:r>
    </w:p>
    <w:p/>
    <w:p>
      <w:r>
        <w:rPr>
          <w:rFonts w:ascii="맑은 고딕" w:hAnsi="맑은 고딕"/>
          <w:b/>
          <w:color w:val="1E50A0"/>
          <w:sz w:val="24"/>
        </w:rPr>
        <w:t>■ 제5조 (비희석 조항)</w:t>
      </w:r>
    </w:p>
    <w:p>
      <w:r>
        <w:rPr>
          <w:rFonts w:ascii="맑은 고딕" w:hAnsi="맑은 고딕"/>
          <w:b w:val="0"/>
          <w:sz w:val="22"/>
        </w:rPr>
        <w:t>신주 발행 시 기존 주주는 지분 비율에 따라 신주를 우선 인수할 권리를 갖는다.</w:t>
      </w:r>
    </w:p>
    <w:p/>
    <w:p>
      <w:r>
        <w:rPr>
          <w:rFonts w:ascii="맑은 고딕" w:hAnsi="맑은 고딕"/>
          <w:b/>
          <w:color w:val="1E50A0"/>
          <w:sz w:val="24"/>
        </w:rPr>
        <w:t>■ 제6조 (배당)</w:t>
      </w:r>
    </w:p>
    <w:p>
      <w:r>
        <w:rPr>
          <w:rFonts w:ascii="맑은 고딕" w:hAnsi="맑은 고딕"/>
          <w:b w:val="0"/>
          <w:sz w:val="22"/>
        </w:rPr>
        <w:t>배당은 이사회 결의에 의하며, 주주 간 지분 비율에 따라 지급한다.</w:t>
      </w:r>
    </w:p>
    <w:p/>
    <w:p>
      <w:r>
        <w:rPr>
          <w:rFonts w:ascii="맑은 고딕" w:hAnsi="맑은 고딕"/>
          <w:b/>
          <w:color w:val="1E50A0"/>
          <w:sz w:val="24"/>
        </w:rPr>
        <w:t>■ 제7조 (경업금지)</w:t>
      </w:r>
    </w:p>
    <w:p>
      <w:r>
        <w:rPr>
          <w:rFonts w:ascii="맑은 고딕" w:hAnsi="맑은 고딕"/>
          <w:b w:val="0"/>
          <w:sz w:val="22"/>
        </w:rPr>
        <w:t>주주는 재임 중 및 퇴임 후 ___년간 회사와 동종 사업을 영위하거나 경쟁사에 참여할 수 없다.</w:t>
      </w:r>
    </w:p>
    <w:p/>
    <w:p>
      <w:r>
        <w:rPr>
          <w:rFonts w:ascii="맑은 고딕" w:hAnsi="맑은 고딕"/>
          <w:b/>
          <w:color w:val="1E50A0"/>
          <w:sz w:val="24"/>
        </w:rPr>
        <w:t>■ 제8조 (비밀유지)</w:t>
      </w:r>
    </w:p>
    <w:p>
      <w:r>
        <w:rPr>
          <w:rFonts w:ascii="맑은 고딕" w:hAnsi="맑은 고딕"/>
          <w:b w:val="0"/>
          <w:sz w:val="22"/>
        </w:rPr>
        <w:t>주주는 회사의 영업 비밀 및 본 계약의 내용을 제3자에게 공개하여서는 아니 된다.</w:t>
      </w:r>
    </w:p>
    <w:p/>
    <w:p>
      <w:r>
        <w:rPr>
          <w:rFonts w:ascii="맑은 고딕" w:hAnsi="맑은 고딕"/>
          <w:b/>
          <w:color w:val="1E50A0"/>
          <w:sz w:val="24"/>
        </w:rPr>
        <w:t>■ 제9조 (계약 기간 및 해지)</w:t>
      </w:r>
    </w:p>
    <w:p>
      <w:r>
        <w:rPr>
          <w:rFonts w:ascii="맑은 고딕" w:hAnsi="맑은 고딕"/>
          <w:b w:val="0"/>
          <w:sz w:val="22"/>
        </w:rPr>
        <w:t>본 계약은 체결일로부터 ___년간 유효하며, 당사자 전원의 합의로 변경 또는 해지할 수 있다.</w:t>
      </w:r>
    </w:p>
    <w:p/>
    <w:p>
      <w:r>
        <w:rPr>
          <w:rFonts w:ascii="맑은 고딕" w:hAnsi="맑은 고딕"/>
          <w:b/>
          <w:color w:val="1E50A0"/>
          <w:sz w:val="24"/>
        </w:rPr>
        <w:t>■ 제10조 (준거법 및 분쟁 해결)</w:t>
      </w:r>
    </w:p>
    <w:p>
      <w:r>
        <w:rPr>
          <w:rFonts w:ascii="맑은 고딕" w:hAnsi="맑은 고딕"/>
          <w:b w:val="0"/>
          <w:sz w:val="22"/>
        </w:rPr>
        <w:t>본 계약은 대한민국 법률에 따르며, 분쟁은 대한상사중재원의 중재로 최종 해결한다.</w:t>
      </w:r>
    </w:p>
    <w:p/>
    <w:p>
      <w:pPr>
        <w:jc w:val="center"/>
      </w:pPr>
      <w:r>
        <w:rPr>
          <w:rFonts w:ascii="맑은 고딕" w:hAnsi="맑은 고딕"/>
          <w:b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/>
          <w:b w:val="0"/>
          <w:sz w:val="22"/>
        </w:rPr>
        <w:t>계약 체결일:  ____년 __월 __일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주주 1 (갑)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주주 2 (을)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주주 3 (병)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</w:tbl>
    <w:p/>
    <w:p>
      <w:pPr>
        <w:jc w:val="center"/>
      </w:pPr>
      <w:r>
        <w:rPr>
          <w:rFonts w:ascii="맑은 고딕" w:hAnsi="맑은 고딕"/>
          <w:b w:val="0"/>
          <w:color w:val="B4B4B4"/>
          <w:sz w:val="16"/>
        </w:rPr>
        <w:t>본 서식은 STCLOGIC (finarchitect.com) 에서 제공하는 표준 양식입니다.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