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8"/>
        <w:tblW w:w="0" w:type="auto"/>
        <w:tblLook w:val="04A0"/>
      </w:tblPr>
      <w:tblGrid>
        <w:gridCol w:w="3794"/>
        <w:gridCol w:w="3169"/>
        <w:gridCol w:w="2608"/>
      </w:tblGrid>
      <w:tr w:rsidR="009B6AA7" w:rsidTr="009B6AA7">
        <w:tc>
          <w:tcPr>
            <w:tcW w:w="3794" w:type="dxa"/>
          </w:tcPr>
          <w:p w:rsidR="009B6AA7" w:rsidRPr="009B6AA7" w:rsidRDefault="009B6AA7" w:rsidP="009B6AA7">
            <w:pPr>
              <w:pStyle w:val="a7"/>
              <w:rPr>
                <w:b/>
                <w:sz w:val="16"/>
                <w:szCs w:val="16"/>
              </w:rPr>
            </w:pPr>
            <w:r w:rsidRPr="009B6AA7">
              <w:rPr>
                <w:b/>
                <w:sz w:val="16"/>
                <w:szCs w:val="16"/>
              </w:rPr>
              <w:t xml:space="preserve">Файловая система </w:t>
            </w:r>
            <w:r w:rsidRPr="009B6AA7">
              <w:rPr>
                <w:b/>
                <w:sz w:val="16"/>
                <w:szCs w:val="16"/>
                <w:lang w:val="en-US"/>
              </w:rPr>
              <w:t>NTFS</w:t>
            </w:r>
            <w:r w:rsidRPr="009B6AA7">
              <w:rPr>
                <w:b/>
                <w:sz w:val="16"/>
                <w:szCs w:val="16"/>
              </w:rPr>
              <w:t xml:space="preserve">. Тома </w:t>
            </w:r>
            <w:r w:rsidRPr="009B6AA7">
              <w:rPr>
                <w:b/>
                <w:sz w:val="16"/>
                <w:szCs w:val="16"/>
                <w:lang w:val="en-US"/>
              </w:rPr>
              <w:t>NTFS</w:t>
            </w:r>
            <w:r w:rsidRPr="009B6AA7">
              <w:rPr>
                <w:b/>
                <w:sz w:val="16"/>
                <w:szCs w:val="16"/>
              </w:rPr>
              <w:t>.</w:t>
            </w:r>
          </w:p>
          <w:p w:rsidR="009B6AA7" w:rsidRPr="009B6AA7" w:rsidRDefault="009B6AA7" w:rsidP="002E09AD">
            <w:pPr>
              <w:pStyle w:val="a7"/>
              <w:rPr>
                <w:sz w:val="16"/>
                <w:szCs w:val="16"/>
              </w:rPr>
            </w:pPr>
            <w:r w:rsidRPr="009B6AA7">
              <w:rPr>
                <w:i/>
                <w:iCs/>
                <w:sz w:val="16"/>
                <w:szCs w:val="16"/>
              </w:rPr>
              <w:t>Простой том (</w:t>
            </w:r>
            <w:r w:rsidRPr="009B6AA7">
              <w:rPr>
                <w:i/>
                <w:iCs/>
                <w:sz w:val="16"/>
                <w:szCs w:val="16"/>
                <w:lang w:val="vi-VN"/>
              </w:rPr>
              <w:t>simple</w:t>
            </w:r>
            <w:r w:rsidRPr="009B6AA7">
              <w:rPr>
                <w:i/>
                <w:iCs/>
                <w:sz w:val="16"/>
                <w:szCs w:val="16"/>
              </w:rPr>
              <w:t>)</w:t>
            </w:r>
          </w:p>
          <w:p w:rsidR="009B6AA7" w:rsidRPr="009B6AA7" w:rsidRDefault="009B6AA7" w:rsidP="002E09AD">
            <w:pPr>
              <w:pStyle w:val="a7"/>
              <w:rPr>
                <w:sz w:val="16"/>
                <w:szCs w:val="16"/>
              </w:rPr>
            </w:pPr>
            <w:r w:rsidRPr="009B6AA7">
              <w:rPr>
                <w:i/>
                <w:iCs/>
                <w:sz w:val="16"/>
                <w:szCs w:val="16"/>
              </w:rPr>
              <w:t>Составной (набор) том</w:t>
            </w:r>
            <w:r w:rsidRPr="009B6AA7">
              <w:rPr>
                <w:sz w:val="16"/>
                <w:szCs w:val="16"/>
              </w:rPr>
              <w:t xml:space="preserve"> (</w:t>
            </w:r>
            <w:r w:rsidRPr="009B6AA7">
              <w:rPr>
                <w:i/>
                <w:iCs/>
                <w:sz w:val="16"/>
                <w:szCs w:val="16"/>
              </w:rPr>
              <w:t>spanned</w:t>
            </w:r>
            <w:r w:rsidRPr="009B6AA7">
              <w:rPr>
                <w:sz w:val="16"/>
                <w:szCs w:val="16"/>
              </w:rPr>
              <w:t xml:space="preserve">) – том, использующий более одного раздела для формирования одного протяженного. Можно использовать разделы с разных дисков для создания набора томов, большего по объему, чем любой имеющийся на компьютере физический диск. </w:t>
            </w:r>
          </w:p>
          <w:p w:rsidR="009B6AA7" w:rsidRPr="009B6AA7" w:rsidRDefault="009B6AA7" w:rsidP="002E09AD">
            <w:pPr>
              <w:pStyle w:val="a7"/>
              <w:rPr>
                <w:sz w:val="16"/>
                <w:szCs w:val="16"/>
              </w:rPr>
            </w:pPr>
            <w:r w:rsidRPr="009B6AA7">
              <w:rPr>
                <w:i/>
                <w:iCs/>
                <w:sz w:val="16"/>
                <w:szCs w:val="16"/>
              </w:rPr>
              <w:t>Зеркальный том</w:t>
            </w:r>
            <w:r w:rsidRPr="009B6AA7">
              <w:rPr>
                <w:sz w:val="16"/>
                <w:szCs w:val="16"/>
              </w:rPr>
              <w:t xml:space="preserve"> (</w:t>
            </w:r>
            <w:r w:rsidRPr="009B6AA7">
              <w:rPr>
                <w:i/>
                <w:iCs/>
                <w:sz w:val="16"/>
                <w:szCs w:val="16"/>
              </w:rPr>
              <w:t>mirrored</w:t>
            </w:r>
            <w:r w:rsidRPr="009B6AA7">
              <w:rPr>
                <w:sz w:val="16"/>
                <w:szCs w:val="16"/>
              </w:rPr>
              <w:t xml:space="preserve">) содержит копии своих данных на двух разделах. В случае зеркала запись данных производится на оба раздела, а считывание происходит только с одного. Зеркальный том устойчив к сбою одного диска, в этом случае работает оставшаяся половина. </w:t>
            </w:r>
          </w:p>
          <w:p w:rsidR="009B6AA7" w:rsidRPr="009B6AA7" w:rsidRDefault="009B6AA7" w:rsidP="002E09AD">
            <w:pPr>
              <w:pStyle w:val="a7"/>
              <w:rPr>
                <w:sz w:val="16"/>
                <w:szCs w:val="16"/>
              </w:rPr>
            </w:pPr>
            <w:r w:rsidRPr="009B6AA7">
              <w:rPr>
                <w:i/>
                <w:iCs/>
                <w:sz w:val="16"/>
                <w:szCs w:val="16"/>
              </w:rPr>
              <w:t>Чередующийся набор томов</w:t>
            </w:r>
            <w:r w:rsidRPr="009B6AA7">
              <w:rPr>
                <w:sz w:val="16"/>
                <w:szCs w:val="16"/>
              </w:rPr>
              <w:t xml:space="preserve"> (</w:t>
            </w:r>
            <w:r w:rsidRPr="009B6AA7">
              <w:rPr>
                <w:i/>
                <w:iCs/>
                <w:sz w:val="16"/>
                <w:szCs w:val="16"/>
              </w:rPr>
              <w:t>stripped</w:t>
            </w:r>
            <w:r w:rsidRPr="009B6AA7">
              <w:rPr>
                <w:sz w:val="16"/>
                <w:szCs w:val="16"/>
              </w:rPr>
              <w:t xml:space="preserve">) – том, состоящий из нескольких разделов, по которым равномерными блоками распределены данные. NT использует блоки данных по 64 Кбайт. Первый блок данных размером в 64 Кбайт хранится на первом разделе, вторые 64 Кбайт на втором и т.д. по кругу, возвращаясь к первому разделу. Чередующиеся наборы томов могут повысить производительность системы, если использовать разделы, размещенные на разных дисках, поскольку операции чтения-записи могут выполняться параллельно. </w:t>
            </w:r>
          </w:p>
          <w:p w:rsidR="009B6AA7" w:rsidRPr="009B6AA7" w:rsidRDefault="009B6AA7" w:rsidP="002E09AD">
            <w:pPr>
              <w:pStyle w:val="a7"/>
              <w:rPr>
                <w:sz w:val="16"/>
                <w:szCs w:val="16"/>
              </w:rPr>
            </w:pPr>
            <w:r w:rsidRPr="009B6AA7">
              <w:rPr>
                <w:i/>
                <w:iCs/>
                <w:sz w:val="16"/>
                <w:szCs w:val="16"/>
              </w:rPr>
              <w:t>Чередующийся набор томов с четностью</w:t>
            </w:r>
            <w:r w:rsidRPr="009B6AA7">
              <w:rPr>
                <w:sz w:val="16"/>
                <w:szCs w:val="16"/>
              </w:rPr>
              <w:t xml:space="preserve"> (</w:t>
            </w:r>
            <w:r w:rsidRPr="009B6AA7">
              <w:rPr>
                <w:i/>
                <w:iCs/>
                <w:sz w:val="16"/>
                <w:szCs w:val="16"/>
              </w:rPr>
              <w:t>RAID-5 volume</w:t>
            </w:r>
            <w:r w:rsidRPr="009B6AA7">
              <w:rPr>
                <w:sz w:val="16"/>
                <w:szCs w:val="16"/>
              </w:rPr>
              <w:t xml:space="preserve">) – это чередующийся набор с дополнительным блоком данных размером в 64 Кбайт для разделов, образующих чередующийся набор. Дополнительный блок содержит информацию о четности, которую система NT может использовать при восстановлении данных, расположенных на одном из разделов чередующегося набора, в случае выхода из строя диска, где был расположен раздел. </w:t>
            </w:r>
          </w:p>
          <w:p w:rsidR="009B6AA7" w:rsidRPr="009B6AA7" w:rsidRDefault="009B6AA7" w:rsidP="009B6AA7">
            <w:pPr>
              <w:pStyle w:val="a7"/>
              <w:rPr>
                <w:b/>
                <w:sz w:val="16"/>
                <w:szCs w:val="16"/>
              </w:rPr>
            </w:pPr>
            <w:r w:rsidRPr="009B6AA7">
              <w:rPr>
                <w:b/>
                <w:sz w:val="16"/>
                <w:szCs w:val="16"/>
              </w:rPr>
              <w:t>Физическая структура MFT и метафайлы.</w:t>
            </w:r>
          </w:p>
          <w:p w:rsidR="009B6AA7" w:rsidRPr="009B6AA7" w:rsidRDefault="002E09AD" w:rsidP="009B6AA7">
            <w:pPr>
              <w:pStyle w:val="a7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-991235</wp:posOffset>
                  </wp:positionV>
                  <wp:extent cx="1581150" cy="1205230"/>
                  <wp:effectExtent l="19050" t="0" r="0" b="0"/>
                  <wp:wrapTight wrapText="bothSides">
                    <wp:wrapPolygon edited="0">
                      <wp:start x="-260" y="0"/>
                      <wp:lineTo x="-260" y="21168"/>
                      <wp:lineTo x="21600" y="21168"/>
                      <wp:lineTo x="21600" y="0"/>
                      <wp:lineTo x="-260" y="0"/>
                    </wp:wrapPolygon>
                  </wp:wrapTight>
                  <wp:docPr id="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1205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B6AA7" w:rsidRPr="009B6AA7">
              <w:rPr>
                <w:sz w:val="16"/>
                <w:szCs w:val="16"/>
              </w:rPr>
              <w:t xml:space="preserve">Каждый файл на томе </w:t>
            </w:r>
            <w:r w:rsidR="009B6AA7" w:rsidRPr="009B6AA7">
              <w:rPr>
                <w:sz w:val="16"/>
                <w:szCs w:val="16"/>
                <w:lang w:val="en-US"/>
              </w:rPr>
              <w:t>NTFS</w:t>
            </w:r>
            <w:r w:rsidR="009B6AA7" w:rsidRPr="009B6AA7">
              <w:rPr>
                <w:sz w:val="16"/>
                <w:szCs w:val="16"/>
              </w:rPr>
              <w:t xml:space="preserve"> представлен записью в специальном файле, называемом главной файловой таблицей (</w:t>
            </w:r>
            <w:r w:rsidR="009B6AA7" w:rsidRPr="009B6AA7">
              <w:rPr>
                <w:sz w:val="16"/>
                <w:szCs w:val="16"/>
                <w:lang w:val="en-US"/>
              </w:rPr>
              <w:t>MFT</w:t>
            </w:r>
            <w:r w:rsidR="009B6AA7" w:rsidRPr="009B6AA7">
              <w:rPr>
                <w:sz w:val="16"/>
                <w:szCs w:val="16"/>
              </w:rPr>
              <w:t xml:space="preserve"> – </w:t>
            </w:r>
            <w:r w:rsidR="009B6AA7" w:rsidRPr="009B6AA7">
              <w:rPr>
                <w:sz w:val="16"/>
                <w:szCs w:val="16"/>
                <w:lang w:val="en-US"/>
              </w:rPr>
              <w:t>master</w:t>
            </w:r>
            <w:r w:rsidR="009B6AA7" w:rsidRPr="009B6AA7">
              <w:rPr>
                <w:sz w:val="16"/>
                <w:szCs w:val="16"/>
              </w:rPr>
              <w:t xml:space="preserve"> </w:t>
            </w:r>
            <w:r w:rsidR="009B6AA7" w:rsidRPr="009B6AA7">
              <w:rPr>
                <w:sz w:val="16"/>
                <w:szCs w:val="16"/>
                <w:lang w:val="en-US"/>
              </w:rPr>
              <w:t>file</w:t>
            </w:r>
            <w:r w:rsidR="009B6AA7" w:rsidRPr="009B6AA7">
              <w:rPr>
                <w:sz w:val="16"/>
                <w:szCs w:val="16"/>
              </w:rPr>
              <w:t xml:space="preserve"> </w:t>
            </w:r>
            <w:r w:rsidR="009B6AA7" w:rsidRPr="009B6AA7">
              <w:rPr>
                <w:sz w:val="16"/>
                <w:szCs w:val="16"/>
                <w:lang w:val="en-US"/>
              </w:rPr>
              <w:t>table</w:t>
            </w:r>
            <w:r w:rsidR="009B6AA7" w:rsidRPr="009B6AA7">
              <w:rPr>
                <w:sz w:val="16"/>
                <w:szCs w:val="16"/>
              </w:rPr>
              <w:t xml:space="preserve">). </w:t>
            </w:r>
            <w:r w:rsidR="009B6AA7" w:rsidRPr="009B6AA7">
              <w:rPr>
                <w:sz w:val="16"/>
                <w:szCs w:val="16"/>
                <w:lang w:val="en-US"/>
              </w:rPr>
              <w:t>NTFS</w:t>
            </w:r>
            <w:r w:rsidR="009B6AA7" w:rsidRPr="009B6AA7">
              <w:rPr>
                <w:sz w:val="16"/>
                <w:szCs w:val="16"/>
              </w:rPr>
              <w:t xml:space="preserve"> резервирует первые 16 записей таблицы для специальной информации. Первая запись этой таблицы описывает непосредственно главную файловую таблицу;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>за ней следует зеркальная запись (</w:t>
            </w:r>
            <w:r w:rsidRPr="009B6AA7">
              <w:rPr>
                <w:sz w:val="16"/>
                <w:szCs w:val="16"/>
                <w:lang w:val="en-US"/>
              </w:rPr>
              <w:t>mirror</w:t>
            </w:r>
            <w:r w:rsidRPr="009B6AA7">
              <w:rPr>
                <w:sz w:val="16"/>
                <w:szCs w:val="16"/>
              </w:rPr>
              <w:t xml:space="preserve"> </w:t>
            </w:r>
            <w:r w:rsidRPr="009B6AA7">
              <w:rPr>
                <w:sz w:val="16"/>
                <w:szCs w:val="16"/>
                <w:lang w:val="en-US"/>
              </w:rPr>
              <w:t>record</w:t>
            </w:r>
            <w:r w:rsidRPr="009B6AA7">
              <w:rPr>
                <w:sz w:val="16"/>
                <w:szCs w:val="16"/>
              </w:rPr>
              <w:t xml:space="preserve">)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. Если первая запись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 разрушена, то NTFS читает вторую запись для отыскания зеркального файла MFT, первая запись которого идентична первой записи MFT. Местоположения сегментов данных MFT и зеркального файла MFT записаны в секторе начальной загрузки. Дубликат сектора начальной загрузки находится в логическом центре диска. 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Третья запись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 — файл регистрации (</w:t>
            </w:r>
            <w:r w:rsidRPr="009B6AA7">
              <w:rPr>
                <w:sz w:val="16"/>
                <w:szCs w:val="16"/>
                <w:lang w:val="en-US"/>
              </w:rPr>
              <w:t>log</w:t>
            </w:r>
            <w:r w:rsidRPr="009B6AA7">
              <w:rPr>
                <w:sz w:val="16"/>
                <w:szCs w:val="16"/>
              </w:rPr>
              <w:t xml:space="preserve"> </w:t>
            </w:r>
            <w:r w:rsidRPr="009B6AA7">
              <w:rPr>
                <w:sz w:val="16"/>
                <w:szCs w:val="16"/>
                <w:lang w:val="en-US"/>
              </w:rPr>
              <w:t>file</w:t>
            </w:r>
            <w:r w:rsidRPr="009B6AA7">
              <w:rPr>
                <w:sz w:val="16"/>
                <w:szCs w:val="16"/>
              </w:rPr>
              <w:t xml:space="preserve">); используется для восстановления файлов. Файл регистрации подробно описан ниже. Семнадцатая и последующие записи главной файловой таблицы используются собственно файлами и каталогами (также рассматриваются как файлы NTFS) на томе. На слайде показана упрощенная структура MFT. </w:t>
            </w:r>
          </w:p>
          <w:p w:rsidR="009B6AA7" w:rsidRPr="009B6AA7" w:rsidRDefault="009B6AA7" w:rsidP="009B6AA7">
            <w:pPr>
              <w:pStyle w:val="a7"/>
              <w:rPr>
                <w:i/>
                <w:sz w:val="16"/>
                <w:szCs w:val="16"/>
              </w:rPr>
            </w:pPr>
            <w:r w:rsidRPr="009B6AA7">
              <w:rPr>
                <w:i/>
                <w:sz w:val="16"/>
                <w:szCs w:val="16"/>
              </w:rPr>
              <w:t>Метафайлы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Метафайлы находятся корневом </w:t>
            </w:r>
            <w:proofErr w:type="gramStart"/>
            <w:r w:rsidRPr="009B6AA7">
              <w:rPr>
                <w:sz w:val="16"/>
                <w:szCs w:val="16"/>
              </w:rPr>
              <w:t>каталоге</w:t>
            </w:r>
            <w:proofErr w:type="gramEnd"/>
            <w:r w:rsidRPr="009B6AA7">
              <w:rPr>
                <w:sz w:val="16"/>
                <w:szCs w:val="16"/>
              </w:rPr>
              <w:t xml:space="preserve"> NTFS диска - они начинаются с символа имени "$" 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>Для метафайлов указан реальный размер - можно узнать, например, сколько ОС тратит на каталогизацию всего диска.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Первые 16 файлов NTFS (метафайлы) носят служебный характер. Каждый из них отвечает за какой-либо аспект работы системы. Преимущество настолько модульного подхода заключается в поразительной гибкости - например, на FAT-е физическое повреждение в самой области FAT </w:t>
            </w:r>
            <w:r w:rsidRPr="009B6AA7">
              <w:rPr>
                <w:sz w:val="16"/>
                <w:szCs w:val="16"/>
              </w:rPr>
              <w:lastRenderedPageBreak/>
              <w:t xml:space="preserve">фатально для функционирования всего диска, а NTFS может сместить, даже фрагментировать по диску, все свои служебные области, обойдя любые неисправности поверхности - кроме первых 16 элементов MFT.  </w:t>
            </w:r>
          </w:p>
          <w:p w:rsidR="009B6AA7" w:rsidRPr="002E09AD" w:rsidRDefault="009B6AA7" w:rsidP="009B6AA7">
            <w:pPr>
              <w:pStyle w:val="a7"/>
              <w:rPr>
                <w:b/>
                <w:sz w:val="16"/>
                <w:szCs w:val="16"/>
              </w:rPr>
            </w:pPr>
            <w:r w:rsidRPr="009B6AA7">
              <w:rPr>
                <w:b/>
                <w:sz w:val="16"/>
                <w:szCs w:val="16"/>
              </w:rPr>
              <w:t>Атрибуты</w:t>
            </w:r>
            <w:r w:rsidRPr="002E09AD">
              <w:rPr>
                <w:b/>
                <w:sz w:val="16"/>
                <w:szCs w:val="16"/>
              </w:rPr>
              <w:t xml:space="preserve"> </w:t>
            </w:r>
            <w:r w:rsidRPr="009B6AA7">
              <w:rPr>
                <w:b/>
                <w:sz w:val="16"/>
                <w:szCs w:val="16"/>
              </w:rPr>
              <w:t xml:space="preserve">в </w:t>
            </w:r>
            <w:r w:rsidRPr="009B6AA7">
              <w:rPr>
                <w:b/>
                <w:sz w:val="16"/>
                <w:szCs w:val="16"/>
                <w:lang w:val="en-US"/>
              </w:rPr>
              <w:t>NTFS</w:t>
            </w:r>
            <w:r w:rsidRPr="002E09AD">
              <w:rPr>
                <w:b/>
                <w:sz w:val="16"/>
                <w:szCs w:val="16"/>
              </w:rPr>
              <w:t>.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Главная файловая таблица отводит определенное количество пространства для каждой записи файла. Атрибуты файла записываются в распределенное пространство MFT. </w:t>
            </w:r>
          </w:p>
          <w:p w:rsid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Каждая запись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 состоит из заголовка записи, за которым следует последовательность пар (заголовок атрибута, значение). Всего в файловой системе </w:t>
            </w:r>
            <w:r w:rsidRPr="009B6AA7">
              <w:rPr>
                <w:sz w:val="16"/>
                <w:szCs w:val="16"/>
                <w:lang w:val="en-US"/>
              </w:rPr>
              <w:t>NTFS</w:t>
            </w:r>
            <w:r w:rsidRPr="009B6AA7">
              <w:rPr>
                <w:sz w:val="16"/>
                <w:szCs w:val="16"/>
              </w:rPr>
              <w:t xml:space="preserve"> определено 13 атрибутов. Как </w:t>
            </w:r>
            <w:proofErr w:type="gramStart"/>
            <w:r w:rsidRPr="009B6AA7">
              <w:rPr>
                <w:sz w:val="16"/>
                <w:szCs w:val="16"/>
              </w:rPr>
              <w:t>правило</w:t>
            </w:r>
            <w:proofErr w:type="gramEnd"/>
            <w:r w:rsidRPr="009B6AA7">
              <w:rPr>
                <w:sz w:val="16"/>
                <w:szCs w:val="16"/>
              </w:rPr>
              <w:t xml:space="preserve"> значения атрибутов располагаются непосредственно после заголовков, однако если длина значения слишком велика, чтобы поместиться в запись таблицы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, она может быть помещена в отдельный блок диска. Такой атрибут называется </w:t>
            </w:r>
            <w:r w:rsidRPr="009B6AA7">
              <w:rPr>
                <w:bCs/>
                <w:sz w:val="16"/>
                <w:szCs w:val="16"/>
              </w:rPr>
              <w:t>нерезидентным</w:t>
            </w:r>
            <w:r w:rsidRPr="009B6AA7">
              <w:rPr>
                <w:sz w:val="16"/>
                <w:szCs w:val="16"/>
              </w:rPr>
              <w:t xml:space="preserve">. Например, таким атрибутом может являться атрибут </w:t>
            </w:r>
            <w:r w:rsidRPr="009B6AA7">
              <w:rPr>
                <w:bCs/>
                <w:sz w:val="16"/>
                <w:szCs w:val="16"/>
                <w:lang w:val="en-US"/>
              </w:rPr>
              <w:t>Data</w:t>
            </w:r>
            <w:r w:rsidRPr="009B6AA7">
              <w:rPr>
                <w:sz w:val="16"/>
                <w:szCs w:val="16"/>
              </w:rPr>
              <w:t xml:space="preserve">. 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Standard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val="en-US" w:eastAsia="ru-RU"/>
              </w:rPr>
              <w:t>Information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(стандартная информация)</w:t>
            </w:r>
            <w:r>
              <w:rPr>
                <w:kern w:val="24"/>
                <w:sz w:val="16"/>
                <w:szCs w:val="16"/>
                <w:lang w:eastAsia="ru-RU"/>
              </w:rPr>
              <w:t xml:space="preserve"> -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Стандартный атрибут. Дата и время создания и последнего изменения файла, дата и время последнего доступа к файлу, флаги доступа к файлу, а также дата и время изменения записи MFT, соответствующей данному файлу.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Attribute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val="en-US" w:eastAsia="ru-RU"/>
              </w:rPr>
              <w:t>List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(список атрибутов)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Filename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(имя файла)</w:t>
            </w:r>
            <w:r>
              <w:rPr>
                <w:kern w:val="24"/>
                <w:sz w:val="16"/>
                <w:szCs w:val="16"/>
                <w:lang w:eastAsia="ru-RU"/>
              </w:rPr>
              <w:t xml:space="preserve"> -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Перечисляет все другие атрибуты.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MS-DOS Name </w:t>
            </w:r>
            <w:r>
              <w:rPr>
                <w:kern w:val="24"/>
                <w:sz w:val="16"/>
                <w:szCs w:val="16"/>
                <w:lang w:eastAsia="ru-RU"/>
              </w:rPr>
              <w:t>-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Имя файла в формате 8.3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Version </w:t>
            </w:r>
            <w:r>
              <w:rPr>
                <w:kern w:val="24"/>
                <w:sz w:val="16"/>
                <w:szCs w:val="16"/>
                <w:lang w:eastAsia="ru-RU"/>
              </w:rPr>
              <w:t>-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Номер последней версии файла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Security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val="en-US" w:eastAsia="ru-RU"/>
              </w:rPr>
              <w:t>Descriptor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(дескриптор безопасности)</w:t>
            </w:r>
            <w:r>
              <w:rPr>
                <w:kern w:val="24"/>
                <w:sz w:val="16"/>
                <w:szCs w:val="16"/>
                <w:lang w:eastAsia="ru-RU"/>
              </w:rPr>
              <w:t xml:space="preserve"> -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Фиксирует информацию о том, кто может обращаться к файлу, кто является его владельцем и так далее (</w:t>
            </w:r>
            <w:r w:rsidRPr="009B6AA7">
              <w:rPr>
                <w:kern w:val="24"/>
                <w:sz w:val="16"/>
                <w:szCs w:val="16"/>
                <w:lang w:val="en-US" w:eastAsia="ru-RU"/>
              </w:rPr>
              <w:t>ACL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)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Data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(данные)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Volume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val="en-US" w:eastAsia="ru-RU"/>
              </w:rPr>
              <w:t>Version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>
              <w:rPr>
                <w:kern w:val="24"/>
                <w:sz w:val="16"/>
                <w:szCs w:val="16"/>
                <w:lang w:eastAsia="ru-RU"/>
              </w:rPr>
              <w:t>-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версия тома, используется только в системных файлах тома</w:t>
            </w:r>
          </w:p>
          <w:p w:rsidR="002E09AD" w:rsidRPr="002E09AD" w:rsidRDefault="002E09AD" w:rsidP="002E09AD">
            <w:pPr>
              <w:pStyle w:val="a7"/>
              <w:rPr>
                <w:sz w:val="16"/>
                <w:szCs w:val="16"/>
                <w:lang w:val="en-US"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 xml:space="preserve">Volume Information </w:t>
            </w:r>
            <w:r w:rsidRPr="002E09AD">
              <w:rPr>
                <w:kern w:val="24"/>
                <w:sz w:val="16"/>
                <w:szCs w:val="16"/>
                <w:lang w:val="en-US" w:eastAsia="ru-RU"/>
              </w:rPr>
              <w:t>(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информация</w:t>
            </w:r>
            <w:r w:rsidRPr="002E09AD">
              <w:rPr>
                <w:kern w:val="24"/>
                <w:sz w:val="16"/>
                <w:szCs w:val="16"/>
                <w:lang w:val="en-US"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о</w:t>
            </w:r>
            <w:r w:rsidRPr="002E09AD">
              <w:rPr>
                <w:kern w:val="24"/>
                <w:sz w:val="16"/>
                <w:szCs w:val="16"/>
                <w:lang w:val="en-US"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томе</w:t>
            </w:r>
            <w:r w:rsidRPr="002E09AD">
              <w:rPr>
                <w:kern w:val="24"/>
                <w:sz w:val="16"/>
                <w:szCs w:val="16"/>
                <w:lang w:val="en-US" w:eastAsia="ru-RU"/>
              </w:rPr>
              <w:t>)</w:t>
            </w:r>
          </w:p>
          <w:p w:rsidR="002E09AD" w:rsidRPr="002E09AD" w:rsidRDefault="002E09AD" w:rsidP="002E09AD">
            <w:pPr>
              <w:pStyle w:val="a7"/>
              <w:rPr>
                <w:sz w:val="16"/>
                <w:szCs w:val="16"/>
                <w:lang w:val="en-US" w:eastAsia="ru-RU"/>
              </w:rPr>
            </w:pPr>
            <w:r w:rsidRPr="002E09AD">
              <w:rPr>
                <w:kern w:val="24"/>
                <w:sz w:val="16"/>
                <w:szCs w:val="16"/>
                <w:lang w:val="en-US" w:eastAsia="ru-RU"/>
              </w:rPr>
              <w:t xml:space="preserve">Volume Name -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отметка</w:t>
            </w:r>
            <w:r w:rsidRPr="002E09AD">
              <w:rPr>
                <w:kern w:val="24"/>
                <w:sz w:val="16"/>
                <w:szCs w:val="16"/>
                <w:lang w:val="en-US"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тома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Index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val="en-US" w:eastAsia="ru-RU"/>
              </w:rPr>
              <w:t>Root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(корневой индекс)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Index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val="en-US" w:eastAsia="ru-RU"/>
              </w:rPr>
              <w:t>Allocation</w:t>
            </w:r>
            <w:r w:rsidRPr="002E09AD">
              <w:rPr>
                <w:kern w:val="24"/>
                <w:sz w:val="16"/>
                <w:szCs w:val="16"/>
                <w:lang w:eastAsia="ru-RU"/>
              </w:rPr>
              <w:t xml:space="preserve"> 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>(размещение индекса</w:t>
            </w:r>
            <w:proofErr w:type="gramStart"/>
            <w:r w:rsidRPr="009B6AA7">
              <w:rPr>
                <w:kern w:val="24"/>
                <w:sz w:val="16"/>
                <w:szCs w:val="16"/>
                <w:lang w:eastAsia="ru-RU"/>
              </w:rPr>
              <w:t>)</w:t>
            </w:r>
            <w:r>
              <w:rPr>
                <w:kern w:val="24"/>
                <w:sz w:val="16"/>
                <w:szCs w:val="16"/>
                <w:lang w:eastAsia="ru-RU"/>
              </w:rPr>
              <w:t>-</w:t>
            </w:r>
            <w:proofErr w:type="gramEnd"/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Узлы ветвей дерева типа B+. нерезидентные части индексного списка B-дерева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  <w:lang w:eastAsia="ru-RU"/>
              </w:rPr>
            </w:pP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External Attribute Information </w:t>
            </w:r>
            <w:r>
              <w:rPr>
                <w:kern w:val="24"/>
                <w:sz w:val="16"/>
                <w:szCs w:val="16"/>
                <w:lang w:eastAsia="ru-RU"/>
              </w:rPr>
              <w:t>-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номер первого кластера и количество кластеров нерезидентного атрибута</w:t>
            </w:r>
          </w:p>
          <w:p w:rsidR="002E09AD" w:rsidRPr="009B6AA7" w:rsidRDefault="002E09AD" w:rsidP="002E09AD">
            <w:pPr>
              <w:pStyle w:val="a7"/>
              <w:rPr>
                <w:sz w:val="16"/>
                <w:szCs w:val="16"/>
              </w:rPr>
            </w:pPr>
            <w:r w:rsidRPr="009B6AA7">
              <w:rPr>
                <w:kern w:val="24"/>
                <w:sz w:val="16"/>
                <w:szCs w:val="16"/>
                <w:lang w:val="en-US" w:eastAsia="ru-RU"/>
              </w:rPr>
              <w:t>Bitmap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(битовый массив)</w:t>
            </w:r>
            <w:r>
              <w:rPr>
                <w:kern w:val="24"/>
                <w:sz w:val="16"/>
                <w:szCs w:val="16"/>
                <w:lang w:eastAsia="ru-RU"/>
              </w:rPr>
              <w:t>-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Предоставляет информацию об использовании записей в </w:t>
            </w:r>
            <w:r w:rsidRPr="009B6AA7">
              <w:rPr>
                <w:kern w:val="24"/>
                <w:sz w:val="16"/>
                <w:szCs w:val="16"/>
                <w:lang w:val="en-US" w:eastAsia="ru-RU"/>
              </w:rPr>
              <w:t>MFT</w:t>
            </w:r>
            <w:r w:rsidRPr="009B6AA7">
              <w:rPr>
                <w:kern w:val="24"/>
                <w:sz w:val="16"/>
                <w:szCs w:val="16"/>
                <w:lang w:eastAsia="ru-RU"/>
              </w:rPr>
              <w:t xml:space="preserve"> или каталоге</w:t>
            </w:r>
          </w:p>
          <w:p w:rsidR="009B6AA7" w:rsidRPr="009B6AA7" w:rsidRDefault="009B6AA7" w:rsidP="009B6AA7">
            <w:pPr>
              <w:pStyle w:val="a7"/>
              <w:rPr>
                <w:b/>
                <w:sz w:val="16"/>
                <w:szCs w:val="16"/>
              </w:rPr>
            </w:pPr>
            <w:r w:rsidRPr="009B6AA7">
              <w:rPr>
                <w:b/>
                <w:sz w:val="16"/>
                <w:szCs w:val="16"/>
              </w:rPr>
              <w:t>Хранение файлов и каталогов.</w:t>
            </w:r>
          </w:p>
          <w:p w:rsidR="009B6AA7" w:rsidRPr="009B6AA7" w:rsidRDefault="009B6AA7" w:rsidP="009B6AA7">
            <w:pPr>
              <w:pStyle w:val="a7"/>
              <w:rPr>
                <w:i/>
                <w:sz w:val="16"/>
                <w:szCs w:val="16"/>
              </w:rPr>
            </w:pPr>
            <w:r w:rsidRPr="009B6AA7">
              <w:rPr>
                <w:i/>
                <w:sz w:val="16"/>
                <w:szCs w:val="16"/>
              </w:rPr>
              <w:t>Хранение каталогов</w:t>
            </w:r>
          </w:p>
          <w:p w:rsidR="009B6AA7" w:rsidRPr="009B6AA7" w:rsidRDefault="009B6AA7" w:rsidP="002E09AD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Небольшие записи каталогов находятся полностью внутри структуры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 так же, как записи файла (копии атрибута File_Name файлов и подкаталогов). Для хранения используется атрибут $</w:t>
            </w:r>
            <w:r w:rsidRPr="009B6AA7">
              <w:rPr>
                <w:sz w:val="16"/>
                <w:szCs w:val="16"/>
                <w:lang w:val="en-US"/>
              </w:rPr>
              <w:t>Index</w:t>
            </w:r>
            <w:r w:rsidRPr="009B6AA7">
              <w:rPr>
                <w:sz w:val="16"/>
                <w:szCs w:val="16"/>
              </w:rPr>
              <w:t>_</w:t>
            </w:r>
            <w:r w:rsidRPr="009B6AA7">
              <w:rPr>
                <w:sz w:val="16"/>
                <w:szCs w:val="16"/>
                <w:lang w:val="en-US"/>
              </w:rPr>
              <w:t>Root</w:t>
            </w:r>
            <w:r w:rsidRPr="009B6AA7">
              <w:rPr>
                <w:sz w:val="16"/>
                <w:szCs w:val="16"/>
              </w:rPr>
              <w:t xml:space="preserve"> (корневой индекс), который всегда резидентный</w:t>
            </w:r>
            <w:proofErr w:type="gramStart"/>
            <w:r w:rsidRPr="009B6AA7">
              <w:rPr>
                <w:sz w:val="16"/>
                <w:szCs w:val="16"/>
              </w:rPr>
              <w:t xml:space="preserve"> !</w:t>
            </w:r>
            <w:proofErr w:type="gramEnd"/>
          </w:p>
          <w:p w:rsidR="009B6AA7" w:rsidRPr="009B6AA7" w:rsidRDefault="009B6AA7" w:rsidP="002E09AD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>В том случае, когда атрибуты файла (или каталога) не умещаются в MFT и требуется выделение дополнительного пространства</w:t>
            </w:r>
            <w:r w:rsidRPr="009B6AA7">
              <w:rPr>
                <w:sz w:val="16"/>
                <w:szCs w:val="16"/>
                <w:lang w:val="vi-VN"/>
              </w:rPr>
              <w:t>:</w:t>
            </w:r>
            <w:r w:rsidRPr="009B6AA7">
              <w:rPr>
                <w:sz w:val="16"/>
                <w:szCs w:val="16"/>
              </w:rPr>
              <w:t xml:space="preserve"> </w:t>
            </w:r>
          </w:p>
          <w:p w:rsidR="009B6AA7" w:rsidRPr="009B6AA7" w:rsidRDefault="009B6AA7" w:rsidP="009B6AA7">
            <w:pPr>
              <w:pStyle w:val="a7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>для хранения описания файлов выделяются нерезидентные индексные буферы (4 Кбайт), каждый из которых имеет виртуальный номер кластера (vir</w:t>
            </w:r>
            <w:r w:rsidRPr="009B6AA7">
              <w:rPr>
                <w:sz w:val="16"/>
                <w:szCs w:val="16"/>
                <w:lang w:val="en-US"/>
              </w:rPr>
              <w:t>tual</w:t>
            </w:r>
            <w:r w:rsidRPr="009B6AA7">
              <w:rPr>
                <w:sz w:val="16"/>
                <w:szCs w:val="16"/>
              </w:rPr>
              <w:t xml:space="preserve"> clusters numbers, VCN)</w:t>
            </w:r>
            <w:r w:rsidRPr="009B6AA7">
              <w:rPr>
                <w:sz w:val="16"/>
                <w:szCs w:val="16"/>
                <w:lang w:val="vi-VN"/>
              </w:rPr>
              <w:t>;</w:t>
            </w:r>
          </w:p>
          <w:p w:rsidR="009B6AA7" w:rsidRPr="009B6AA7" w:rsidRDefault="009B6AA7" w:rsidP="009B6AA7">
            <w:pPr>
              <w:pStyle w:val="a7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корневой индекс хранит корень дерева </w:t>
            </w:r>
            <w:r w:rsidRPr="009B6AA7">
              <w:rPr>
                <w:sz w:val="16"/>
                <w:szCs w:val="16"/>
                <w:lang w:val="en-US"/>
              </w:rPr>
              <w:t>B</w:t>
            </w:r>
            <w:r w:rsidRPr="009B6AA7">
              <w:rPr>
                <w:sz w:val="16"/>
                <w:szCs w:val="16"/>
              </w:rPr>
              <w:t>+ и ссылки (</w:t>
            </w:r>
            <w:r w:rsidRPr="009B6AA7">
              <w:rPr>
                <w:sz w:val="16"/>
                <w:szCs w:val="16"/>
                <w:lang w:val="en-US"/>
              </w:rPr>
              <w:t>VCN</w:t>
            </w:r>
            <w:r w:rsidRPr="009B6AA7">
              <w:rPr>
                <w:sz w:val="16"/>
                <w:szCs w:val="16"/>
              </w:rPr>
              <w:t xml:space="preserve">) на индексные буферы. </w:t>
            </w:r>
          </w:p>
          <w:p w:rsidR="009B6AA7" w:rsidRPr="009B6AA7" w:rsidRDefault="009B6AA7" w:rsidP="009B6AA7">
            <w:pPr>
              <w:pStyle w:val="a7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соответствие между </w:t>
            </w:r>
            <w:r w:rsidRPr="009B6AA7">
              <w:rPr>
                <w:sz w:val="16"/>
                <w:szCs w:val="16"/>
                <w:lang w:val="vi-VN"/>
              </w:rPr>
              <w:t xml:space="preserve">VCN </w:t>
            </w:r>
            <w:r w:rsidRPr="009B6AA7">
              <w:rPr>
                <w:sz w:val="16"/>
                <w:szCs w:val="16"/>
              </w:rPr>
              <w:t xml:space="preserve">и </w:t>
            </w:r>
            <w:r w:rsidRPr="009B6AA7">
              <w:rPr>
                <w:sz w:val="16"/>
                <w:szCs w:val="16"/>
                <w:lang w:val="vi-VN"/>
              </w:rPr>
              <w:t>LCN</w:t>
            </w:r>
            <w:r w:rsidRPr="009B6AA7">
              <w:rPr>
                <w:sz w:val="16"/>
                <w:szCs w:val="16"/>
              </w:rPr>
              <w:t xml:space="preserve"> хранится в атрибуте каталога $</w:t>
            </w:r>
            <w:r w:rsidRPr="009B6AA7">
              <w:rPr>
                <w:sz w:val="16"/>
                <w:szCs w:val="16"/>
                <w:lang w:val="vi-VN"/>
              </w:rPr>
              <w:t>Index_Allocation</w:t>
            </w:r>
            <w:r w:rsidRPr="009B6AA7">
              <w:rPr>
                <w:sz w:val="16"/>
                <w:szCs w:val="16"/>
              </w:rPr>
              <w:t>. Примечание</w:t>
            </w:r>
            <w:r w:rsidRPr="009B6AA7">
              <w:rPr>
                <w:sz w:val="16"/>
                <w:szCs w:val="16"/>
                <w:lang w:val="vi-VN"/>
              </w:rPr>
              <w:t xml:space="preserve">: </w:t>
            </w:r>
            <w:r w:rsidRPr="009B6AA7">
              <w:rPr>
                <w:sz w:val="16"/>
                <w:szCs w:val="16"/>
              </w:rPr>
              <w:t>Логические номера кластеров (LCN), представляют последовательность кластеров всего тома</w:t>
            </w:r>
          </w:p>
          <w:p w:rsidR="009B6AA7" w:rsidRPr="009B6AA7" w:rsidRDefault="009B6AA7" w:rsidP="009B6AA7">
            <w:pPr>
              <w:rPr>
                <w:b/>
                <w:sz w:val="16"/>
                <w:szCs w:val="16"/>
              </w:rPr>
            </w:pPr>
            <w:r w:rsidRPr="009B6AA7">
              <w:rPr>
                <w:b/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17217</wp:posOffset>
                  </wp:positionH>
                  <wp:positionV relativeFrom="paragraph">
                    <wp:posOffset>4026</wp:posOffset>
                  </wp:positionV>
                  <wp:extent cx="1335297" cy="310551"/>
                  <wp:effectExtent l="19050" t="0" r="0" b="0"/>
                  <wp:wrapTight wrapText="bothSides">
                    <wp:wrapPolygon edited="0">
                      <wp:start x="-308" y="0"/>
                      <wp:lineTo x="-308" y="19875"/>
                      <wp:lineTo x="21571" y="19875"/>
                      <wp:lineTo x="21571" y="0"/>
                      <wp:lineTo x="-308" y="0"/>
                    </wp:wrapPolygon>
                  </wp:wrapTight>
                  <wp:docPr id="7" name="Рисунок 1" descr="MFT_catalog_smal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40" name="Picture 4" descr="MFT_catalog_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5297" cy="310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9B6AA7">
              <w:rPr>
                <w:sz w:val="16"/>
                <w:szCs w:val="16"/>
              </w:rPr>
              <w:t>а) запись MFT для небольшого каталога (резидентное хранение)</w:t>
            </w:r>
          </w:p>
          <w:p w:rsidR="009B6AA7" w:rsidRPr="009B6AA7" w:rsidRDefault="009B6AA7" w:rsidP="009B6AA7">
            <w:pPr>
              <w:rPr>
                <w:sz w:val="16"/>
                <w:szCs w:val="16"/>
              </w:rPr>
            </w:pPr>
            <w:r w:rsidRPr="009B6AA7">
              <w:rPr>
                <w:b/>
                <w:noProof/>
                <w:sz w:val="16"/>
                <w:szCs w:val="16"/>
                <w:lang w:eastAsia="ru-RU"/>
              </w:rPr>
              <w:lastRenderedPageBreak/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17217</wp:posOffset>
                  </wp:positionH>
                  <wp:positionV relativeFrom="paragraph">
                    <wp:posOffset>1701</wp:posOffset>
                  </wp:positionV>
                  <wp:extent cx="1818113" cy="612476"/>
                  <wp:effectExtent l="19050" t="0" r="0" b="0"/>
                  <wp:wrapTight wrapText="bothSides">
                    <wp:wrapPolygon edited="0">
                      <wp:start x="-226" y="0"/>
                      <wp:lineTo x="-226" y="20827"/>
                      <wp:lineTo x="21501" y="20827"/>
                      <wp:lineTo x="21501" y="0"/>
                      <wp:lineTo x="-226" y="0"/>
                    </wp:wrapPolygon>
                  </wp:wrapTight>
                  <wp:docPr id="8" name="Рисунок 2" descr="MFT_catalog_larg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539" name="Picture 3" descr="MFT_catalog_lar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113" cy="6124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9B6AA7">
              <w:rPr>
                <w:sz w:val="16"/>
                <w:szCs w:val="16"/>
              </w:rPr>
              <w:t xml:space="preserve">б) запись MFT для </w:t>
            </w:r>
            <w:r w:rsidRPr="009B6AA7">
              <w:rPr>
                <w:sz w:val="16"/>
                <w:szCs w:val="16"/>
                <w:lang w:val="vi-VN"/>
              </w:rPr>
              <w:t>“</w:t>
            </w:r>
            <w:r w:rsidRPr="009B6AA7">
              <w:rPr>
                <w:sz w:val="16"/>
                <w:szCs w:val="16"/>
              </w:rPr>
              <w:t>большого</w:t>
            </w:r>
            <w:r w:rsidRPr="009B6AA7">
              <w:rPr>
                <w:sz w:val="16"/>
                <w:szCs w:val="16"/>
                <w:lang w:val="vi-VN"/>
              </w:rPr>
              <w:t xml:space="preserve">” </w:t>
            </w:r>
            <w:r w:rsidRPr="009B6AA7">
              <w:rPr>
                <w:sz w:val="16"/>
                <w:szCs w:val="16"/>
              </w:rPr>
              <w:t>каталога</w:t>
            </w:r>
            <w:r w:rsidRPr="009B6AA7">
              <w:rPr>
                <w:sz w:val="16"/>
                <w:szCs w:val="16"/>
                <w:lang w:val="vi-VN"/>
              </w:rPr>
              <w:t xml:space="preserve"> </w:t>
            </w:r>
            <w:r w:rsidRPr="009B6AA7">
              <w:rPr>
                <w:sz w:val="16"/>
                <w:szCs w:val="16"/>
              </w:rPr>
              <w:t>(нерезидентное хранение)</w:t>
            </w:r>
          </w:p>
          <w:p w:rsidR="009B6AA7" w:rsidRPr="009B6AA7" w:rsidRDefault="009B6AA7" w:rsidP="009B6AA7">
            <w:pPr>
              <w:pStyle w:val="a7"/>
              <w:rPr>
                <w:i/>
                <w:sz w:val="16"/>
                <w:szCs w:val="16"/>
              </w:rPr>
            </w:pPr>
            <w:r w:rsidRPr="009B6AA7">
              <w:rPr>
                <w:i/>
                <w:sz w:val="16"/>
                <w:szCs w:val="16"/>
              </w:rPr>
              <w:t>Непосредственное хранение файлов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Небольшие файлы и каталоги (меньше 1 Кбайт), типа файла, показанного на слайде, могут полностью содержаться внутри записи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. 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>Если значение атрибута хранится непосредственно в MFT, время, необходимое NTFS для доступа к нему, значительно сокращается. Вместо того</w:t>
            </w:r>
            <w:proofErr w:type="gramStart"/>
            <w:r w:rsidRPr="009B6AA7">
              <w:rPr>
                <w:sz w:val="16"/>
                <w:szCs w:val="16"/>
              </w:rPr>
              <w:t>,</w:t>
            </w:r>
            <w:proofErr w:type="gramEnd"/>
            <w:r w:rsidRPr="009B6AA7">
              <w:rPr>
                <w:sz w:val="16"/>
                <w:szCs w:val="16"/>
              </w:rPr>
              <w:t xml:space="preserve"> чтобы искать файл в таблице и затем считывать цепочку кластеров для поиска данных файла (как это делается, например, в файловой системе FAT), NTFS обращается к диску только один раз и немедленно считывает данные. 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Подобный подход обеспечивает очень быстрый доступ к файлам. 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noProof/>
                <w:sz w:val="16"/>
                <w:szCs w:val="16"/>
                <w:lang w:eastAsia="ru-RU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-60960</wp:posOffset>
                  </wp:positionH>
                  <wp:positionV relativeFrom="paragraph">
                    <wp:posOffset>29210</wp:posOffset>
                  </wp:positionV>
                  <wp:extent cx="1412875" cy="974725"/>
                  <wp:effectExtent l="19050" t="0" r="0" b="0"/>
                  <wp:wrapTight wrapText="bothSides">
                    <wp:wrapPolygon edited="0">
                      <wp:start x="-291" y="0"/>
                      <wp:lineTo x="-291" y="21107"/>
                      <wp:lineTo x="21551" y="21107"/>
                      <wp:lineTo x="21551" y="0"/>
                      <wp:lineTo x="-291" y="0"/>
                    </wp:wrapPolygon>
                  </wp:wrapTight>
                  <wp:docPr id="9" name="Рисунок 3" descr="direct_fil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620" name="Picture 4" descr="direct_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2875" cy="974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  <w:p w:rsidR="009B6AA7" w:rsidRPr="009B6AA7" w:rsidRDefault="009B6AA7" w:rsidP="009B6AA7">
            <w:pPr>
              <w:pStyle w:val="a7"/>
              <w:rPr>
                <w:i/>
                <w:sz w:val="16"/>
                <w:szCs w:val="16"/>
              </w:rPr>
            </w:pPr>
          </w:p>
          <w:p w:rsidR="009B6AA7" w:rsidRPr="009B6AA7" w:rsidRDefault="009B6AA7" w:rsidP="009B6AA7">
            <w:pPr>
              <w:pStyle w:val="a7"/>
              <w:rPr>
                <w:i/>
                <w:sz w:val="16"/>
                <w:szCs w:val="16"/>
              </w:rPr>
            </w:pPr>
          </w:p>
          <w:p w:rsidR="009B6AA7" w:rsidRPr="009B6AA7" w:rsidRDefault="009B6AA7" w:rsidP="009B6AA7">
            <w:pPr>
              <w:pStyle w:val="a7"/>
              <w:rPr>
                <w:i/>
                <w:sz w:val="16"/>
                <w:szCs w:val="16"/>
              </w:rPr>
            </w:pPr>
          </w:p>
          <w:p w:rsidR="009B6AA7" w:rsidRPr="009B6AA7" w:rsidRDefault="009B6AA7" w:rsidP="009B6AA7">
            <w:pPr>
              <w:pStyle w:val="a7"/>
              <w:rPr>
                <w:i/>
                <w:sz w:val="16"/>
                <w:szCs w:val="16"/>
              </w:rPr>
            </w:pPr>
          </w:p>
          <w:p w:rsidR="009B6AA7" w:rsidRPr="009B6AA7" w:rsidRDefault="009B6AA7" w:rsidP="009B6AA7">
            <w:pPr>
              <w:pStyle w:val="a7"/>
              <w:rPr>
                <w:i/>
                <w:sz w:val="16"/>
                <w:szCs w:val="16"/>
              </w:rPr>
            </w:pP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>Нерезидентное хранение файлов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</w:p>
          <w:p w:rsidR="009B6AA7" w:rsidRPr="009B6AA7" w:rsidRDefault="0082535A" w:rsidP="009B6AA7">
            <w:pPr>
              <w:pStyle w:val="a7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2.5pt;margin-top:4.75pt;width:159.95pt;height:72.05pt;z-index:251668480">
                  <v:imagedata r:id="rId9" o:title=""/>
                </v:shape>
                <o:OLEObject Type="Embed" ProgID="Word.Picture.8" ShapeID="_x0000_s1027" DrawAspect="Content" ObjectID="_1294160017" r:id="rId10"/>
              </w:pic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</w:p>
          <w:p w:rsidR="009B6AA7" w:rsidRDefault="009B6AA7" w:rsidP="009B6AA7">
            <w:pPr>
              <w:pStyle w:val="a7"/>
              <w:rPr>
                <w:sz w:val="16"/>
                <w:szCs w:val="16"/>
              </w:rPr>
            </w:pPr>
          </w:p>
          <w:p w:rsidR="009B6AA7" w:rsidRDefault="009B6AA7" w:rsidP="009B6AA7">
            <w:pPr>
              <w:pStyle w:val="a7"/>
              <w:rPr>
                <w:sz w:val="16"/>
                <w:szCs w:val="16"/>
              </w:rPr>
            </w:pPr>
          </w:p>
          <w:p w:rsidR="009B6AA7" w:rsidRDefault="009B6AA7" w:rsidP="009B6AA7">
            <w:pPr>
              <w:pStyle w:val="a7"/>
              <w:rPr>
                <w:sz w:val="16"/>
                <w:szCs w:val="16"/>
              </w:rPr>
            </w:pPr>
          </w:p>
          <w:p w:rsidR="009B6AA7" w:rsidRDefault="009B6AA7" w:rsidP="009B6AA7">
            <w:pPr>
              <w:pStyle w:val="a7"/>
              <w:rPr>
                <w:sz w:val="16"/>
                <w:szCs w:val="16"/>
              </w:rPr>
            </w:pP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Конечно, в большинстве случаев все данные файла не помещаются в запись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, поэтому этот </w:t>
            </w:r>
            <w:proofErr w:type="gramStart"/>
            <w:r w:rsidRPr="009B6AA7">
              <w:rPr>
                <w:sz w:val="16"/>
                <w:szCs w:val="16"/>
              </w:rPr>
              <w:t>атрибут</w:t>
            </w:r>
            <w:proofErr w:type="gramEnd"/>
            <w:r w:rsidRPr="009B6AA7">
              <w:rPr>
                <w:sz w:val="16"/>
                <w:szCs w:val="16"/>
              </w:rPr>
              <w:t xml:space="preserve"> как правило является нерезидентным.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proofErr w:type="gramStart"/>
            <w:r w:rsidRPr="009B6AA7">
              <w:rPr>
                <w:sz w:val="16"/>
                <w:szCs w:val="16"/>
              </w:rPr>
              <w:t>Рассмотрим</w:t>
            </w:r>
            <w:proofErr w:type="gramEnd"/>
            <w:r w:rsidRPr="009B6AA7">
              <w:rPr>
                <w:sz w:val="16"/>
                <w:szCs w:val="16"/>
              </w:rPr>
              <w:t xml:space="preserve"> каким образом как в файловой системе </w:t>
            </w:r>
            <w:r w:rsidRPr="009B6AA7">
              <w:rPr>
                <w:sz w:val="16"/>
                <w:szCs w:val="16"/>
                <w:lang w:val="en-US"/>
              </w:rPr>
              <w:t>NTFS</w:t>
            </w:r>
            <w:r w:rsidRPr="009B6AA7">
              <w:rPr>
                <w:sz w:val="16"/>
                <w:szCs w:val="16"/>
              </w:rPr>
              <w:t xml:space="preserve"> отслеживается расположение нерезидентных атрибутов.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Для увеличения эффективности кластеры назначаются файлам по возможности в виде серий  последовательных кластеров (сегментов файла). Блоки в файле описываются последовательностью записей, каждая из которых описывает последовательность логических непрерывных блоков. Непрерывный файл описывается всего одной записью. 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>Каждая запись начинается с заголовка, определяющего смещение первого блока в файле. Затем располагается смещение первого блока, не покрываемого первой записью. Для приведенного примера у первой записи будет заголовок  (0, 50), а сама запись будет содержать дисковые адреса для первых 50 блоков файла. Вторая запись будет иметь заголовок (60, 80) и содержать дисковые адреса для следующих 20 блоков файла.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Следом за каждым заголовком располагаются пары, в которых содержатся дисковые адреса и длины серий блоков. Использование этой схемы для 9-блочного </w:t>
            </w:r>
            <w:proofErr w:type="gramStart"/>
            <w:r w:rsidRPr="009B6AA7">
              <w:rPr>
                <w:sz w:val="16"/>
                <w:szCs w:val="16"/>
              </w:rPr>
              <w:t>файла, состоящего из трех сегментов приведено</w:t>
            </w:r>
            <w:proofErr w:type="gramEnd"/>
            <w:r w:rsidRPr="009B6AA7">
              <w:rPr>
                <w:sz w:val="16"/>
                <w:szCs w:val="16"/>
              </w:rPr>
              <w:t xml:space="preserve"> на слайде.</w:t>
            </w:r>
          </w:p>
          <w:p w:rsidR="009B6AA7" w:rsidRPr="009B6AA7" w:rsidRDefault="009B6AA7" w:rsidP="009B6AA7">
            <w:pPr>
              <w:pStyle w:val="a7"/>
              <w:rPr>
                <w:sz w:val="16"/>
                <w:szCs w:val="16"/>
              </w:rPr>
            </w:pPr>
            <w:r w:rsidRPr="009B6AA7">
              <w:rPr>
                <w:sz w:val="16"/>
                <w:szCs w:val="16"/>
              </w:rPr>
              <w:t xml:space="preserve">На этом рисунке показана запись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 для короткого файла (короткий файл, здесь означает, что вся информация о блоках помещается в одну запись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>). Файл состоит из 3-х серий блоков: 20 – 23, 64 – 65, 80 – 82. Число таких серий зависит от того насколько удачно ФС сумела найти место для хранения файла.</w:t>
            </w:r>
            <w:r w:rsidRPr="009B6AA7">
              <w:rPr>
                <w:sz w:val="16"/>
                <w:szCs w:val="16"/>
              </w:rPr>
              <w:tab/>
            </w:r>
          </w:p>
          <w:p w:rsidR="009B6AA7" w:rsidRDefault="009B6AA7" w:rsidP="00B72D88">
            <w:pPr>
              <w:pStyle w:val="a7"/>
            </w:pPr>
            <w:r w:rsidRPr="009B6AA7">
              <w:rPr>
                <w:sz w:val="16"/>
                <w:szCs w:val="16"/>
              </w:rPr>
              <w:t xml:space="preserve">Что произойдет, если файл будет слишком велик или будет настолько фрагментирован, что информация о блоках не поместится в одну запись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. В этом случае используется более одной записи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. В базовой записи “большого” файла записываются все индексы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, которые используются для расширения. Если базовой записи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 не хватает для хранения индексов, то список записей </w:t>
            </w:r>
            <w:r w:rsidRPr="009B6AA7">
              <w:rPr>
                <w:sz w:val="16"/>
                <w:szCs w:val="16"/>
                <w:lang w:val="en-US"/>
              </w:rPr>
              <w:t>MFT</w:t>
            </w:r>
            <w:r w:rsidRPr="009B6AA7">
              <w:rPr>
                <w:sz w:val="16"/>
                <w:szCs w:val="16"/>
              </w:rPr>
              <w:t xml:space="preserve"> делается нерезидентным.</w:t>
            </w:r>
          </w:p>
        </w:tc>
        <w:tc>
          <w:tcPr>
            <w:tcW w:w="3169" w:type="dxa"/>
          </w:tcPr>
          <w:p w:rsidR="009B6AA7" w:rsidRDefault="009B6AA7" w:rsidP="009B6AA7"/>
        </w:tc>
        <w:tc>
          <w:tcPr>
            <w:tcW w:w="2608" w:type="dxa"/>
          </w:tcPr>
          <w:p w:rsidR="009B6AA7" w:rsidRDefault="009B6AA7" w:rsidP="009B6AA7"/>
        </w:tc>
      </w:tr>
    </w:tbl>
    <w:tbl>
      <w:tblPr>
        <w:tblW w:w="0" w:type="auto"/>
        <w:tblInd w:w="144" w:type="dxa"/>
        <w:tblCellMar>
          <w:left w:w="0" w:type="dxa"/>
          <w:right w:w="0" w:type="dxa"/>
        </w:tblCellMar>
        <w:tblLook w:val="04A0"/>
      </w:tblPr>
      <w:tblGrid>
        <w:gridCol w:w="294"/>
      </w:tblGrid>
      <w:tr w:rsidR="002E09AD" w:rsidRPr="009B6AA7" w:rsidTr="00BC2ED8">
        <w:trPr>
          <w:trHeight w:val="7022"/>
        </w:trPr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E09AD" w:rsidRPr="009B6AA7" w:rsidRDefault="002E09AD" w:rsidP="00DA06F7">
            <w:pPr>
              <w:pStyle w:val="a7"/>
              <w:rPr>
                <w:sz w:val="16"/>
                <w:szCs w:val="16"/>
                <w:lang w:eastAsia="ru-RU"/>
              </w:rPr>
            </w:pPr>
          </w:p>
        </w:tc>
      </w:tr>
    </w:tbl>
    <w:p w:rsidR="009B6AA7" w:rsidRPr="009B6AA7" w:rsidRDefault="009B6AA7" w:rsidP="009B6AA7"/>
    <w:sectPr w:rsidR="009B6AA7" w:rsidRPr="009B6AA7" w:rsidSect="002E09AD">
      <w:pgSz w:w="11906" w:h="16838"/>
      <w:pgMar w:top="346" w:right="289" w:bottom="346" w:left="28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D7474"/>
    <w:multiLevelType w:val="hybridMultilevel"/>
    <w:tmpl w:val="C346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877198"/>
    <w:multiLevelType w:val="hybridMultilevel"/>
    <w:tmpl w:val="3C501AC6"/>
    <w:lvl w:ilvl="0" w:tplc="8D2E866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14B268">
      <w:start w:val="1146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A6E5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AE4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22999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6B9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831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5894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143E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0B45982"/>
    <w:multiLevelType w:val="hybridMultilevel"/>
    <w:tmpl w:val="2CE6BE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E2627"/>
    <w:multiLevelType w:val="hybridMultilevel"/>
    <w:tmpl w:val="AFF8669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9A561E"/>
    <w:multiLevelType w:val="hybridMultilevel"/>
    <w:tmpl w:val="08C82642"/>
    <w:lvl w:ilvl="0" w:tplc="2A78A3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9A09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F0CB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E4619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BC69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22C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8476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84B7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0A75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EE4D7C"/>
    <w:multiLevelType w:val="hybridMultilevel"/>
    <w:tmpl w:val="197AC68A"/>
    <w:lvl w:ilvl="0" w:tplc="2794C8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5E0D6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88FD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B07B7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B851B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E65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5CCF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30D2A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812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08"/>
  <w:drawingGridHorizontalSpacing w:val="110"/>
  <w:displayHorizontalDrawingGridEvery w:val="2"/>
  <w:characterSpacingControl w:val="doNotCompress"/>
  <w:compat/>
  <w:rsids>
    <w:rsidRoot w:val="00D23F24"/>
    <w:rsid w:val="00267659"/>
    <w:rsid w:val="002C3121"/>
    <w:rsid w:val="002E09AD"/>
    <w:rsid w:val="003A1661"/>
    <w:rsid w:val="00490CFD"/>
    <w:rsid w:val="006F55C6"/>
    <w:rsid w:val="0082535A"/>
    <w:rsid w:val="009B6AA7"/>
    <w:rsid w:val="00B349A4"/>
    <w:rsid w:val="00B72D88"/>
    <w:rsid w:val="00CE52F2"/>
    <w:rsid w:val="00D23F24"/>
    <w:rsid w:val="00E8542C"/>
    <w:rsid w:val="00F7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1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F2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23F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2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23F24"/>
    <w:pPr>
      <w:spacing w:after="0" w:line="240" w:lineRule="auto"/>
    </w:pPr>
  </w:style>
  <w:style w:type="table" w:styleId="a8">
    <w:name w:val="Table Grid"/>
    <w:basedOn w:val="a1"/>
    <w:uiPriority w:val="59"/>
    <w:rsid w:val="009B6A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8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9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6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84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46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58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9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7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566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0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93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5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1245</Words>
  <Characters>7099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Melkosoft</Company>
  <LinksUpToDate>false</LinksUpToDate>
  <CharactersWithSpaces>8328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FuckYouBill</cp:lastModifiedBy>
  <cp:revision>3</cp:revision>
  <cp:lastPrinted>2009-01-22T15:51:00Z</cp:lastPrinted>
  <dcterms:created xsi:type="dcterms:W3CDTF">2009-01-22T14:21:00Z</dcterms:created>
  <dcterms:modified xsi:type="dcterms:W3CDTF">2009-01-22T17:07:00Z</dcterms:modified>
</cp:coreProperties>
</file>