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0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NECC · Litigiosidad ART</w:t>
      </w:r>
    </w:p>
    <w:p>
      <w:pPr>
        <w:pStyle w:val="Subtitle"/>
      </w:pPr>
      <w:r>
        <w:t xml:space="preserve">Extracción automática y trazable de indicadores de litigiosidad de las notas a los estados contables de las ART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</w:t>
            </w:r>
          </w:p>
        </w:tc>
        <w:tc>
          <w:tcPr/>
          <w:p>
            <w:pPr>
              <w:pStyle w:val="Compact"/>
            </w:pPr>
            <w:r>
              <w:t xml:space="preserve">Text Mining — Maestría en Ciencia de Datos, Universidad Austral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Docente</w:t>
            </w:r>
          </w:p>
        </w:tc>
        <w:tc>
          <w:tcPr/>
          <w:p>
            <w:pPr>
              <w:pStyle w:val="Compact"/>
            </w:pPr>
            <w:r>
              <w:t xml:space="preserve">Prof. Dr. Hernán D. Merlino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Cohorte</w:t>
            </w:r>
          </w:p>
        </w:tc>
        <w:tc>
          <w:tcPr/>
          <w:p>
            <w:pPr>
              <w:pStyle w:val="Compact"/>
            </w:pPr>
            <w:r>
              <w:t xml:space="preserve">2026-2027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16/10/2026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Integrantes</w:t>
            </w:r>
          </w:p>
        </w:tc>
        <w:tc>
          <w:tcPr/>
          <w:p>
            <w:pPr>
              <w:pStyle w:val="Compac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Resumen ejecutivo.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Convención.</w:t>
      </w:r>
      <w:r>
        <w:t xml:space="preserve"> </w:t>
      </w:r>
      <w:r>
        <w:t xml:space="preserve">Las cifras de este documento salen de la evaluación del MVP (</w:t>
      </w:r>
      <w:r>
        <w:rPr>
          <w:rStyle w:val="VerbatimChar"/>
        </w:rPr>
        <w:t xml:space="preserve">mvp/eval/resultados.md</w:t>
      </w:r>
      <w:r>
        <w:t xml:space="preserve">) o del requerimiento de negocio (</w:t>
      </w:r>
      <w:r>
        <w:rPr>
          <w:rStyle w:val="VerbatimChar"/>
        </w:rPr>
        <w:t xml:space="preserve">Info NECC.docx</w:t>
      </w:r>
      <w:r>
        <w:t xml:space="preserve">). Las que no fueron medidas se marcan como</w:t>
      </w:r>
      <w:r>
        <w:t xml:space="preserve"> </w:t>
      </w:r>
      <w:r>
        <w:rPr>
          <w:i/>
          <w:iCs/>
        </w:rPr>
        <w:t xml:space="preserve">estimación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supuesto</w:t>
      </w:r>
      <w:r>
        <w:t xml:space="preserve">.</w:t>
      </w:r>
    </w:p>
    <w:bookmarkStart w:id="9" w:name="resumen-ejecutivo"/>
    <w:p>
      <w:pPr>
        <w:pStyle w:val="Heading1"/>
      </w:pPr>
      <w:r>
        <w:t xml:space="preserve">1. Resumen ejecutivo</w:t>
      </w:r>
    </w:p>
    <w:p>
      <w:pPr>
        <w:pStyle w:val="FirstParagraph"/>
      </w:pPr>
      <w:r>
        <w:rPr>
          <w:b/>
          <w:bCs/>
        </w:rPr>
        <w:t xml:space="preserve">Problema.</w:t>
      </w:r>
      <w:r>
        <w:t xml:space="preserve"> </w:t>
      </w:r>
      <w:r>
        <w:t xml:space="preserve">Todos los trimestres, las aseguradoras de riesgos del trabajo (ART) presentan sus estados contables ante la SSN. En las Notas informan sus datos de litigiosidad: el punto RGAA 33.4.1.6.1.6 pide reservas, juicios abiertos y pagos parciales, y el nuevo formato normalizado (RGAA 30.1.1.3 d) agrega juicios cerrados, stock y ratio. Hoy un analista lee cada PDF y copia los valores a mano a un</w:t>
      </w:r>
      <w:r>
        <w:t xml:space="preserve"> </w:t>
      </w:r>
      <w:r>
        <w:t xml:space="preserve">“Excel base”</w:t>
      </w:r>
      <w:r>
        <w:t xml:space="preserve">. Cada entidad redacta distinto: hay más de 10 nombres para un mismo concepto, cuadros escaneados como imagen, unidades mezcladas y valores que hay que sumar o restar. El resultado es trabajo calificado y repetitivo, riesgo de errores de transcripción y ninguna trazabilidad sobre el origen de cada número.</w:t>
      </w:r>
    </w:p>
    <w:p>
      <w:pPr>
        <w:pStyle w:val="BodyText"/>
      </w:pPr>
      <w:r>
        <w:rPr>
          <w:b/>
          <w:bCs/>
        </w:rPr>
        <w:t xml:space="preserve">Solución.</w:t>
      </w:r>
      <w:r>
        <w:t xml:space="preserve"> </w:t>
      </w:r>
      <w:r>
        <w:t xml:space="preserve">NECC · Litigiosidad ART extrae los 9 indicadores de litigiosidad de las notas de las ART y los carga en el Excel base, con página y cita para cada valor y alertas cuando algo no cierra. Dos métodos independientes (reglas derivadas de una ontología y un LLM) leen cada campo. Todo número tiene que aparecer literalmente en la página de la que se dice que sale. Los desacuerdos se derivan a una persona, con una acción concreta sugerida.</w:t>
      </w:r>
    </w:p>
    <w:p>
      <w:pPr>
        <w:pStyle w:val="BodyText"/>
      </w:pPr>
      <w:r>
        <w:rPr>
          <w:b/>
          <w:bCs/>
        </w:rPr>
        <w:t xml:space="preserve">Resultado medido (MVP).</w:t>
      </w:r>
      <w:r>
        <w:t xml:space="preserve"> </w:t>
      </w:r>
      <w:r>
        <w:t xml:space="preserve">Probamos el MVP con 6 notas: 3 reales al 31/03/2026 (La Holando, Productores de Frutas y Prevención ART) y 3 sintéticas con las variantes más difíciles (cuadro escaneado, comparativo escaneado en miles y prosa con restas). En total son 54 valores. Las reglas acertaron</w:t>
      </w:r>
      <w:r>
        <w:t xml:space="preserve"> </w:t>
      </w:r>
      <w:r>
        <w:rPr>
          <w:b/>
          <w:bCs/>
        </w:rPr>
        <w:t xml:space="preserve">54/54</w:t>
      </w:r>
      <w:r>
        <w:t xml:space="preserve">, la IA sola</w:t>
      </w:r>
      <w:r>
        <w:t xml:space="preserve"> </w:t>
      </w:r>
      <w:r>
        <w:rPr>
          <w:b/>
          <w:bCs/>
        </w:rPr>
        <w:t xml:space="preserve">51/54 (94,4 %)</w:t>
      </w:r>
      <w:r>
        <w:t xml:space="preserve"> </w:t>
      </w:r>
      <w:r>
        <w:t xml:space="preserve">(50/54 en una corrida anterior) y el híbrido</w:t>
      </w:r>
      <w:r>
        <w:t xml:space="preserve"> </w:t>
      </w:r>
      <w:r>
        <w:rPr>
          <w:b/>
          <w:bCs/>
        </w:rPr>
        <w:t xml:space="preserve">54/54</w:t>
      </w:r>
      <w:r>
        <w:t xml:space="preserve">; la página correcta se localizó en</w:t>
      </w:r>
      <w:r>
        <w:t xml:space="preserve"> </w:t>
      </w:r>
      <w:r>
        <w:rPr>
          <w:b/>
          <w:bCs/>
        </w:rPr>
        <w:t xml:space="preserve">6/6</w:t>
      </w:r>
      <w:r>
        <w:t xml:space="preserve"> </w:t>
      </w:r>
      <w:r>
        <w:t xml:space="preserve">notas. El proceso tardó entre 9 y 21 s por nota y el costo de API es de</w:t>
      </w:r>
      <w:r>
        <w:t xml:space="preserve"> </w:t>
      </w:r>
      <w:r>
        <w:rPr>
          <w:b/>
          <w:bCs/>
        </w:rPr>
        <w:t xml:space="preserve">≈ USD 0,02 por nota</w:t>
      </w:r>
      <w:r>
        <w:t xml:space="preserve"> </w:t>
      </w:r>
      <w:r>
        <w:t xml:space="preserve">(</w:t>
      </w:r>
      <w:r>
        <w:rPr>
          <w:i/>
          <w:iCs/>
        </w:rPr>
        <w:t xml:space="preserve">estimación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Advertencia.</w:t>
      </w:r>
      <w:r>
        <w:t xml:space="preserve"> </w:t>
      </w:r>
      <w:r>
        <w:t xml:space="preserve">Las reglas se ajustaron sobre estas mismas notas, así que el 54/54 es optimista. El piloto mide sobre un trimestre completo de notas no vistas.</w:t>
      </w:r>
    </w:p>
    <w:p>
      <w:pPr>
        <w:pStyle w:val="BodyText"/>
      </w:pPr>
      <w:r>
        <w:rPr>
          <w:b/>
          <w:bCs/>
        </w:rPr>
        <w:t xml:space="preserve">Lo que compra el cliente.</w:t>
      </w:r>
      <w:r>
        <w:t xml:space="preserve"> </w:t>
      </w:r>
      <w:r>
        <w:t xml:space="preserve">El caso no se apoya en horas ahorradas (ver sección 9): son pocas notas por año. Lo que se compra es control de errores, trazabilidad para auditoría, el dato el mismo día en que se publica la nota y escala para sumar indicadores nuevos por configuración.</w:t>
      </w:r>
    </w:p>
    <w:p>
      <w:pPr>
        <w:pStyle w:val="BodyText"/>
      </w:pPr>
      <w:r>
        <w:rPr>
          <w:b/>
          <w:bCs/>
        </w:rPr>
        <w:t xml:space="preserve">Pedido.</w:t>
      </w:r>
    </w:p>
    <w:p>
      <w:pPr>
        <w:pStyle w:val="Compact"/>
        <w:numPr>
          <w:ilvl w:val="0"/>
          <w:numId w:val="1001"/>
        </w:numPr>
      </w:pPr>
      <w:r>
        <w:t xml:space="preserve">Aprobar el piloto de 3 meses (≈</w:t>
      </w:r>
      <w:r>
        <w:t xml:space="preserve"> </w:t>
      </w:r>
      <w:r>
        <w:rPr>
          <w:b/>
          <w:bCs/>
        </w:rPr>
        <w:t xml:space="preserve">USD 15.070</w:t>
      </w:r>
      <w:r>
        <w:t xml:space="preserve">, con decisión al final de cada mes).</w:t>
      </w:r>
    </w:p>
    <w:p>
      <w:pPr>
        <w:pStyle w:val="Compact"/>
        <w:numPr>
          <w:ilvl w:val="0"/>
          <w:numId w:val="1001"/>
        </w:numPr>
      </w:pPr>
      <w:r>
        <w:t xml:space="preserve">Designar un analista de dominio a media jornada.</w:t>
      </w:r>
    </w:p>
    <w:p>
      <w:pPr>
        <w:pStyle w:val="Compact"/>
        <w:numPr>
          <w:ilvl w:val="0"/>
          <w:numId w:val="1001"/>
        </w:numPr>
      </w:pPr>
      <w:r>
        <w:t xml:space="preserve">Dar acceso a un trimestre de notas y al Excel base actual.</w:t>
      </w:r>
    </w:p>
    <w:bookmarkEnd w:id="9"/>
    <w:bookmarkStart w:id="13" w:name="el-problema-y-por-qué-importa"/>
    <w:p>
      <w:pPr>
        <w:pStyle w:val="Heading1"/>
      </w:pPr>
      <w:r>
        <w:t xml:space="preserve">2. El problema y por qué importa</w:t>
      </w:r>
    </w:p>
    <w:bookmarkStart w:id="10" w:name="qué-hay-que-extraer"/>
    <w:p>
      <w:pPr>
        <w:pStyle w:val="Heading2"/>
      </w:pPr>
      <w:r>
        <w:t xml:space="preserve">2.1 Qué hay que extraer</w:t>
      </w:r>
    </w:p>
    <w:p>
      <w:pPr>
        <w:pStyle w:val="FirstParagraph"/>
      </w:pPr>
      <w:r>
        <w:t xml:space="preserve">En la versión actual, el Excel base tiene</w:t>
      </w:r>
      <w:r>
        <w:t xml:space="preserve"> </w:t>
      </w:r>
      <w:r>
        <w:rPr>
          <w:b/>
          <w:bCs/>
        </w:rPr>
        <w:t xml:space="preserve">9 campos</w:t>
      </w:r>
      <w:r>
        <w:t xml:space="preserve"> </w:t>
      </w:r>
      <w:r>
        <w:t xml:space="preserve">por entidad y fecha de balance. Los 5 primeros vienen del punto 33.4.1.6.1.6. Los otros 4 vienen del formato normalizado (30.1.1.3 d):</w:t>
      </w:r>
    </w:p>
    <w:p>
      <w:pPr>
        <w:pStyle w:val="Compact"/>
        <w:numPr>
          <w:ilvl w:val="0"/>
          <w:numId w:val="1002"/>
        </w:numPr>
      </w:pPr>
      <w:r>
        <w:t xml:space="preserve">Cantidad de juicios abiertos.</w:t>
      </w:r>
    </w:p>
    <w:p>
      <w:pPr>
        <w:pStyle w:val="Compact"/>
        <w:numPr>
          <w:ilvl w:val="0"/>
          <w:numId w:val="1002"/>
        </w:numPr>
      </w:pPr>
      <w:r>
        <w:t xml:space="preserve">Cantidad de juicios abiertos con pagos parciales.</w:t>
      </w:r>
    </w:p>
    <w:p>
      <w:pPr>
        <w:pStyle w:val="Compact"/>
        <w:numPr>
          <w:ilvl w:val="0"/>
          <w:numId w:val="1002"/>
        </w:numPr>
      </w:pPr>
      <w:r>
        <w:t xml:space="preserve">Total de pagos de los casos abiertos con juicios.</w:t>
      </w:r>
    </w:p>
    <w:p>
      <w:pPr>
        <w:pStyle w:val="Compact"/>
        <w:numPr>
          <w:ilvl w:val="0"/>
          <w:numId w:val="1002"/>
        </w:numPr>
      </w:pPr>
      <w:r>
        <w:t xml:space="preserve">Reserva por pasivo global.</w:t>
      </w:r>
    </w:p>
    <w:p>
      <w:pPr>
        <w:pStyle w:val="Compact"/>
        <w:numPr>
          <w:ilvl w:val="0"/>
          <w:numId w:val="1002"/>
        </w:numPr>
      </w:pPr>
      <w:r>
        <w:t xml:space="preserve">Reserva por reclamaciones judiciales (a cargo de la entidad).</w:t>
      </w:r>
    </w:p>
    <w:p>
      <w:pPr>
        <w:pStyle w:val="Compact"/>
        <w:numPr>
          <w:ilvl w:val="0"/>
          <w:numId w:val="1002"/>
        </w:numPr>
      </w:pPr>
      <w:r>
        <w:t xml:space="preserve">Juicios cerrados en los últimos 12 meses.</w:t>
      </w:r>
    </w:p>
    <w:p>
      <w:pPr>
        <w:pStyle w:val="Compact"/>
        <w:numPr>
          <w:ilvl w:val="0"/>
          <w:numId w:val="1002"/>
        </w:numPr>
      </w:pPr>
      <w:r>
        <w:t xml:space="preserve">Stock de juicios 12 meses antes.</w:t>
      </w:r>
    </w:p>
    <w:p>
      <w:pPr>
        <w:pStyle w:val="Compact"/>
        <w:numPr>
          <w:ilvl w:val="0"/>
          <w:numId w:val="1002"/>
        </w:numPr>
      </w:pPr>
      <w:r>
        <w:t xml:space="preserve">Montos pagados por juicios cerrados en 12 meses.</w:t>
      </w:r>
    </w:p>
    <w:p>
      <w:pPr>
        <w:pStyle w:val="Compact"/>
        <w:numPr>
          <w:ilvl w:val="0"/>
          <w:numId w:val="1002"/>
        </w:numPr>
      </w:pPr>
      <w:r>
        <w:t xml:space="preserve">Ratio juicios cerrados / stock.</w:t>
      </w:r>
    </w:p>
    <w:bookmarkEnd w:id="10"/>
    <w:bookmarkStart w:id="11" w:name="por-qué-no-alcanza-con-buscar-y-copiar"/>
    <w:p>
      <w:pPr>
        <w:pStyle w:val="Heading2"/>
      </w:pPr>
      <w:r>
        <w:t xml:space="preserve">2.2 Por qué no alcanza con</w:t>
      </w:r>
      <w:r>
        <w:t xml:space="preserve"> </w:t>
      </w:r>
      <w:r>
        <w:t xml:space="preserve">“buscar y copiar”</w:t>
      </w:r>
    </w:p>
    <w:p>
      <w:pPr>
        <w:pStyle w:val="FirstParagraph"/>
      </w:pPr>
      <w:r>
        <w:t xml:space="preserve">El requerimiento (</w:t>
      </w:r>
      <w:r>
        <w:rPr>
          <w:rStyle w:val="VerbatimChar"/>
        </w:rPr>
        <w:t xml:space="preserve">Info NECC.docx</w:t>
      </w:r>
      <w:r>
        <w:t xml:space="preserve">) documenta variantes reales que hoy se resuelven de memoria: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Sinónimos.</w:t>
      </w:r>
      <w:r>
        <w:t xml:space="preserve"> </w:t>
      </w:r>
      <w:r>
        <w:t xml:space="preserve">Hay más de 10 formas de nombrar el total de pagos. Algunos ejemplos:</w:t>
      </w:r>
      <w:r>
        <w:t xml:space="preserve"> </w:t>
      </w:r>
      <w:r>
        <w:t xml:space="preserve">“Total de pagos a la fecha de balance de los casos abiertos”</w:t>
      </w:r>
      <w:r>
        <w:t xml:space="preserve">,</w:t>
      </w:r>
      <w:r>
        <w:t xml:space="preserve"> </w:t>
      </w:r>
      <w:r>
        <w:t xml:space="preserve">“Total de pagos parciales actualizados correspondientes a juicios abiertos”</w:t>
      </w:r>
      <w:r>
        <w:t xml:space="preserve"> </w:t>
      </w:r>
      <w:r>
        <w:t xml:space="preserve">y</w:t>
      </w:r>
      <w:r>
        <w:t xml:space="preserve"> </w:t>
      </w:r>
      <w:r>
        <w:t xml:space="preserve">“Monto pagado al 31/03 correspondiente a casos abiertos”</w:t>
      </w:r>
      <w:r>
        <w:t xml:space="preserve">. El pasivo global y la reserva por reclamaciones tienen 6–9 redacciones cada uno.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Formatos.</w:t>
      </w:r>
      <w:r>
        <w:t xml:space="preserve"> </w:t>
      </w:r>
      <w:r>
        <w:t xml:space="preserve">Los datos aparecen como lista, cuadro, cuadro comparativo de dos años, prosa y cuadros escaneados como imagen. Info NECC registra este último caso en al menos tres entidades.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Unidades.</w:t>
      </w:r>
      <w:r>
        <w:t xml:space="preserve"> </w:t>
      </w:r>
      <w:r>
        <w:t xml:space="preserve">Algunas notas están en pesos y otras en miles de pesos. Una entidad declara los estados contables en miles pero las notas en pesos. En otra, el pie de una imagen dice</w:t>
      </w:r>
      <w:r>
        <w:t xml:space="preserve"> </w:t>
      </w:r>
      <w:r>
        <w:t xml:space="preserve">“en millones”</w:t>
      </w:r>
      <w:r>
        <w:t xml:space="preserve">, pero las cifras solo tienen sentido en pesos.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Datos que no están</w:t>
      </w:r>
      <w:r>
        <w:rPr>
          <w:b/>
          <w:bCs/>
        </w:rPr>
        <w:t xml:space="preserve"> </w:t>
      </w:r>
      <w:r>
        <w:rPr>
          <w:b/>
          <w:bCs/>
        </w:rPr>
        <w:t xml:space="preserve">“listos”</w:t>
      </w:r>
      <w:r>
        <w:rPr>
          <w:b/>
          <w:bCs/>
        </w:rPr>
        <w:t xml:space="preserve">.</w:t>
      </w:r>
      <w:r>
        <w:t xml:space="preserve"> </w:t>
      </w:r>
      <w:r>
        <w:t xml:space="preserve">A veces los juicios abiertos vienen separados en</w:t>
      </w:r>
      <w:r>
        <w:t xml:space="preserve"> </w:t>
      </w:r>
      <w:r>
        <w:t xml:space="preserve">“sin”</w:t>
      </w:r>
      <w:r>
        <w:t xml:space="preserve"> </w:t>
      </w:r>
      <w:r>
        <w:t xml:space="preserve">y</w:t>
      </w:r>
      <w:r>
        <w:t xml:space="preserve"> </w:t>
      </w:r>
      <w:r>
        <w:t xml:space="preserve">“con”</w:t>
      </w:r>
      <w:r>
        <w:t xml:space="preserve"> </w:t>
      </w:r>
      <w:r>
        <w:t xml:space="preserve">pagos parciales, y hay que sumarlos. Hay casos en que la reserva aparece en prosa y hay que restarle la porción a cargo del fondo fiduciario de enfermedades profesionales (FFEP) y la del reaseguro. Es el caso de Latitud Sur: $5.363.303.565 − $227.572.305 − $34.558.258.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Ambigüedades de criterio.</w:t>
      </w:r>
      <w:r>
        <w:t xml:space="preserve"> </w:t>
      </w:r>
      <w:r>
        <w:t xml:space="preserve">Hay que decidir entre reserva bruta y</w:t>
      </w:r>
      <w:r>
        <w:t xml:space="preserve"> </w:t>
      </w:r>
      <w:r>
        <w:t xml:space="preserve">“saldo según Sinensup”</w:t>
      </w:r>
      <w:r>
        <w:t xml:space="preserve">, y entre pasivo global bruto y neto.</w:t>
      </w:r>
    </w:p>
    <w:bookmarkEnd w:id="11"/>
    <w:bookmarkStart w:id="12" w:name="el-riesgo-del-proceso-actual"/>
    <w:p>
      <w:pPr>
        <w:pStyle w:val="Heading2"/>
      </w:pPr>
      <w:r>
        <w:t xml:space="preserve">2.3 El riesgo del proceso actual</w:t>
      </w:r>
    </w:p>
    <w:p>
      <w:pPr>
        <w:pStyle w:val="FirstParagraph"/>
      </w:pPr>
      <w:r>
        <w:t xml:space="preserve">El costo principal no son las horas sino el</w:t>
      </w:r>
      <w:r>
        <w:t xml:space="preserve"> </w:t>
      </w:r>
      <w:r>
        <w:rPr>
          <w:b/>
          <w:bCs/>
        </w:rPr>
        <w:t xml:space="preserve">riesgo de error</w:t>
      </w:r>
      <w:r>
        <w:t xml:space="preserve">. Un número mal transcripto, una unidad mal interpretada o una reserva tomada bruta en lugar de neta contaminan el Excel base y todo lo que se calcula a partir de él. Además, hoy no hay forma de auditar de dónde salió cada valor.</w:t>
      </w:r>
    </w:p>
    <w:p>
      <w:pPr>
        <w:pStyle w:val="BodyText"/>
      </w:pPr>
      <w:r>
        <w:t xml:space="preserve">Caso real del MVP: un cuadro decía</w:t>
      </w:r>
      <w:r>
        <w:t xml:space="preserve"> </w:t>
      </w:r>
      <w:r>
        <w:t xml:space="preserve">“en millones”</w:t>
      </w:r>
      <w:r>
        <w:t xml:space="preserve">. Tomado al pie de la letra, daba ARS 6,3 billones por juicio, una reserva inflada por 1.000.000. El sistema lo detectó y alertó al actuario (Figura 1).</w:t>
      </w:r>
    </w:p>
    <w:bookmarkEnd w:id="12"/>
    <w:bookmarkEnd w:id="13"/>
    <w:bookmarkStart w:id="25" w:name="la-solución"/>
    <w:p>
      <w:pPr>
        <w:pStyle w:val="Heading1"/>
      </w:pPr>
      <w:r>
        <w:t xml:space="preserve">3. La solución</w:t>
      </w:r>
    </w:p>
    <w:bookmarkStart w:id="14" w:name="proceso-de-8-módulos"/>
    <w:p>
      <w:pPr>
        <w:pStyle w:val="Heading2"/>
      </w:pPr>
      <w:r>
        <w:t xml:space="preserve">3.1 Proceso de 8 módulos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  <w:tc>
          <w:tcPr/>
          <w:p>
            <w:pPr>
              <w:pStyle w:val="Compact"/>
            </w:pPr>
            <w:r>
              <w:t xml:space="preserve">Técnica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Descubrimiento (</w:t>
            </w:r>
            <w:r>
              <w:rPr>
                <w:rStyle w:val="VerbatimChar"/>
              </w:rPr>
              <w:t xml:space="preserve">m1_descubrimiento.py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Toma documentos de una carpeta vigilada, de la subida web o de la CLI. Deduplica por SHA-256 y guarda una copia inmutable del original.</w:t>
            </w:r>
          </w:p>
        </w:tc>
        <w:tc>
          <w:tcPr/>
          <w:p>
            <w:pPr>
              <w:pStyle w:val="Compact"/>
            </w:pPr>
            <w:r>
              <w:t xml:space="preserve">Adquisición de datos y deduplicación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Procesamiento (</w:t>
            </w:r>
            <w:r>
              <w:rPr>
                <w:rStyle w:val="VerbatimChar"/>
              </w:rPr>
              <w:t xml:space="preserve">m2_procesamiento.py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Extrae el texto nativo con PyMuPDF en orden de lectura. Aplica OCR (Gemini visión, con Tesseract como alternativa) a las páginas escaneadas y a las imágenes grandes, y omite logos repetidos. Limpia viñetas, encabezados y pies, y fragmenta por párrafos sin cruzar páginas.</w:t>
            </w:r>
          </w:p>
        </w:tc>
        <w:tc>
          <w:tcPr/>
          <w:p>
            <w:pPr>
              <w:pStyle w:val="Compact"/>
            </w:pPr>
            <w:r>
              <w:t xml:space="preserve">Limpieza, OCR y fragmentación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Estandarización (</w:t>
            </w:r>
            <w:r>
              <w:rPr>
                <w:rStyle w:val="VerbatimChar"/>
              </w:rPr>
              <w:t xml:space="preserve">m3_estandarizacion.py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(a) Localiza con BM25 usando la ontología como consulta. (b) Extrae por reglas. (c) Extrae por LLM: Gemini 2.5 Flash, temperatura 0, JSON validado con Pydantic y número literal con página y cita. (d) Verifica que el número exista literalmente en la página. (e) Fusiona: si los dos métodos coinciden, la confianza es alta; si no, se abre una alerta.</w:t>
            </w:r>
          </w:p>
        </w:tc>
        <w:tc>
          <w:tcPr/>
          <w:p>
            <w:pPr>
              <w:pStyle w:val="Compact"/>
            </w:pPr>
            <w:r>
              <w:t xml:space="preserve">BM25 guiado por ontología, salida estructurada validada, verificación literal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Pre-procesamiento (</w:t>
            </w:r>
            <w:r>
              <w:rPr>
                <w:rStyle w:val="VerbatimChar"/>
              </w:rPr>
              <w:t xml:space="preserve">m4_preprocesamiento.py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Aplica las derivaciones de la ontología (sumas y restas), normaliza todo a pesos, aplica la barandilla de unidad y las reglas de negocio, y asigna un estado por campo: ok, revisar o faltante.</w:t>
            </w:r>
          </w:p>
        </w:tc>
        <w:tc>
          <w:tcPr/>
          <w:p>
            <w:pPr>
              <w:pStyle w:val="Compact"/>
            </w:pPr>
            <w:r>
              <w:t xml:space="preserve">Ontología como barandilla de reglas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Almacenamiento (</w:t>
            </w:r>
            <w:r>
              <w:rPr>
                <w:rStyle w:val="VerbatimChar"/>
              </w:rPr>
              <w:t xml:space="preserve">m5_almacenamiento.py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Guarda en SQLite los documentos, páginas, fragmentos con embeddings, extracciones por método, valores, alertas, acciones, eventos y consultas. Exporta el Excel base con las hojas Base, Trazabilidad e Incidencias.</w:t>
            </w:r>
          </w:p>
        </w:tc>
        <w:tc>
          <w:tcPr/>
          <w:p>
            <w:pPr>
              <w:pStyle w:val="Compact"/>
            </w:pPr>
            <w:r>
              <w:t xml:space="preserve">Persistencia y trazabilidad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Visualización (</w:t>
            </w:r>
            <w:r>
              <w:rPr>
                <w:rStyle w:val="VerbatimChar"/>
              </w:rPr>
              <w:t xml:space="preserve">m6_visualizacion/api.py</w:t>
            </w:r>
            <w:r>
              <w:t xml:space="preserve"> </w:t>
            </w:r>
            <w:r>
              <w:t xml:space="preserve">con FastAPI, interfaz React en</w:t>
            </w:r>
            <w:r>
              <w:t xml:space="preserve"> </w:t>
            </w:r>
            <w:r>
              <w:rPr>
                <w:rStyle w:val="VerbatimChar"/>
              </w:rPr>
              <w:t xml:space="preserve">web/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Ofrece las pantallas Documentos (carga por arrastre y progreso del procesamiento en 6 pasos), Documento (recorte de la página del PDF con el valor resaltado, lecturas por método, aprobar o corregir), Tablero, Consulta y Acciones.</w:t>
            </w:r>
          </w:p>
        </w:tc>
        <w:tc>
          <w:tcPr/>
          <w:p>
            <w:pPr>
              <w:pStyle w:val="Compact"/>
            </w:pPr>
            <w:r>
              <w:t xml:space="preserve">API e interfaz 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Consulta (</w:t>
            </w:r>
            <w:r>
              <w:rPr>
                <w:rStyle w:val="VerbatimChar"/>
              </w:rPr>
              <w:t xml:space="preserve">m7_consulta.py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Búsqueda híbrida: BM25 más embeddings</w:t>
            </w:r>
            <w:r>
              <w:t xml:space="preserve"> </w:t>
            </w:r>
            <w:r>
              <w:rPr>
                <w:rStyle w:val="VerbatimChar"/>
              </w:rPr>
              <w:t xml:space="preserve">gemini-embedding-001</w:t>
            </w:r>
            <w:r>
              <w:t xml:space="preserve">, fusionados con Reciprocal Rank Fusion (k = 60). El contexto son los fragmentos más la tabla estandarizada, con un prompt anclado y citas [entidad, pág.].</w:t>
            </w:r>
          </w:p>
        </w:tc>
        <w:tc>
          <w:tcPr/>
          <w:p>
            <w:pPr>
              <w:pStyle w:val="Compact"/>
            </w:pPr>
            <w:r>
              <w:t xml:space="preserve">RAG híbrido BM25 + embeddings con RRF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Acción (</w:t>
            </w:r>
            <w:r>
              <w:rPr>
                <w:rStyle w:val="VerbatimChar"/>
              </w:rPr>
              <w:t xml:space="preserve">m8_accion.py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config/responsables.yaml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Rutea cada alerta al responsable que corresponde (analista, actuario o líder) según regla y severidad. Envía una notificación con acción sugerida, página y evidencia por bandeja local, Slack o email. Genera reportes por documento y consolidados.</w:t>
            </w:r>
          </w:p>
        </w:tc>
        <w:tc>
          <w:tcPr/>
          <w:p>
            <w:pPr>
              <w:pStyle w:val="Compact"/>
            </w:pPr>
            <w:r>
              <w:t xml:space="preserve">Human-in-the-loop</w:t>
            </w:r>
          </w:p>
        </w:tc>
      </w:tr>
    </w:tbl>
    <w:p>
      <w:pPr>
        <w:pStyle w:val="BodyText"/>
      </w:pPr>
      <w:r>
        <w:t xml:space="preserve">Un orquestador (</w:t>
      </w:r>
      <w:r>
        <w:rPr>
          <w:rStyle w:val="VerbatimChar"/>
        </w:rPr>
        <w:t xml:space="preserve">pipeline.py</w:t>
      </w:r>
      <w:r>
        <w:t xml:space="preserve">) ejecuta los módulos en cadena y deja una bitácora por etapa. Todo se maneja desde la CLI</w:t>
      </w:r>
      <w:r>
        <w:t xml:space="preserve"> </w:t>
      </w:r>
      <w:r>
        <w:rPr>
          <w:rStyle w:val="VerbatimChar"/>
        </w:rPr>
        <w:t xml:space="preserve">necc</w:t>
      </w:r>
      <w:r>
        <w:t xml:space="preserve">, con los comandos</w:t>
      </w:r>
      <w:r>
        <w:t xml:space="preserve"> </w:t>
      </w:r>
      <w:r>
        <w:rPr>
          <w:rStyle w:val="VerbatimChar"/>
        </w:rPr>
        <w:t xml:space="preserve">descubrir</w:t>
      </w:r>
      <w:r>
        <w:t xml:space="preserve">,</w:t>
      </w:r>
      <w:r>
        <w:t xml:space="preserve"> </w:t>
      </w:r>
      <w:r>
        <w:rPr>
          <w:rStyle w:val="VerbatimChar"/>
        </w:rPr>
        <w:t xml:space="preserve">ejecutar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procesar</w:t>
      </w:r>
      <w:r>
        <w:t xml:space="preserve">,</w:t>
      </w:r>
      <w:r>
        <w:t xml:space="preserve"> </w:t>
      </w:r>
      <w:r>
        <w:rPr>
          <w:rStyle w:val="VerbatimChar"/>
        </w:rPr>
        <w:t xml:space="preserve">vigilar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consultar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exportar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reporte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ui</w:t>
      </w:r>
      <w:r>
        <w:t xml:space="preserve">.</w:t>
      </w:r>
    </w:p>
    <w:bookmarkEnd w:id="14"/>
    <w:bookmarkStart w:id="15" w:name="ontología"/>
    <w:p>
      <w:pPr>
        <w:pStyle w:val="Heading2"/>
      </w:pPr>
      <w:r>
        <w:t xml:space="preserve">3.2 Ontología</w:t>
      </w:r>
    </w:p>
    <w:p>
      <w:pPr>
        <w:pStyle w:val="FirstParagraph"/>
      </w:pPr>
      <w:r>
        <w:t xml:space="preserve">El conocimiento del dominio vive en</w:t>
      </w:r>
      <w:r>
        <w:t xml:space="preserve"> </w:t>
      </w:r>
      <w:r>
        <w:rPr>
          <w:rStyle w:val="VerbatimChar"/>
        </w:rPr>
        <w:t xml:space="preserve">config/ontologia.yaml</w:t>
      </w:r>
      <w:r>
        <w:t xml:space="preserve"> </w:t>
      </w:r>
      <w:r>
        <w:t xml:space="preserve">y no en el código. Define 9 campos y 5 componentes intermedios: juicios sin pagos parciales, reserva bruta, porción a cargo del FFEP, porción a cargo del reaseguro y pasivo global neto. Para cada campo y componente registra:</w:t>
      </w:r>
    </w:p>
    <w:p>
      <w:pPr>
        <w:pStyle w:val="Compact"/>
        <w:numPr>
          <w:ilvl w:val="0"/>
          <w:numId w:val="1004"/>
        </w:numPr>
      </w:pPr>
      <w:r>
        <w:t xml:space="preserve">sinónimos y redacciones conocidas;</w:t>
      </w:r>
    </w:p>
    <w:p>
      <w:pPr>
        <w:pStyle w:val="Compact"/>
        <w:numPr>
          <w:ilvl w:val="0"/>
          <w:numId w:val="1004"/>
        </w:numPr>
      </w:pPr>
      <w:r>
        <w:t xml:space="preserve">criterios de negocio (por ejemplo, reserva</w:t>
      </w:r>
      <w:r>
        <w:t xml:space="preserve"> </w:t>
      </w:r>
      <w:r>
        <w:rPr>
          <w:b/>
          <w:bCs/>
        </w:rPr>
        <w:t xml:space="preserve">neta</w:t>
      </w:r>
      <w:r>
        <w:t xml:space="preserve">);</w:t>
      </w:r>
    </w:p>
    <w:p>
      <w:pPr>
        <w:pStyle w:val="Compact"/>
        <w:numPr>
          <w:ilvl w:val="0"/>
          <w:numId w:val="1004"/>
        </w:numPr>
      </w:pPr>
      <w:r>
        <w:t xml:space="preserve">derivaciones determinísticas (juicios = sin + con pagos parciales; reserva = bruta − FFEP − reaseguro);</w:t>
      </w:r>
    </w:p>
    <w:p>
      <w:pPr>
        <w:pStyle w:val="Compact"/>
        <w:numPr>
          <w:ilvl w:val="0"/>
          <w:numId w:val="1004"/>
        </w:numPr>
      </w:pPr>
      <w:r>
        <w:t xml:space="preserve">reglas de validación que generan alertas.</w:t>
      </w:r>
    </w:p>
    <w:p>
      <w:pPr>
        <w:pStyle w:val="FirstParagraph"/>
      </w:pPr>
      <w:r>
        <w:t xml:space="preserve">La ontología funciona como</w:t>
      </w:r>
      <w:r>
        <w:t xml:space="preserve"> </w:t>
      </w:r>
      <w:r>
        <w:rPr>
          <w:b/>
          <w:bCs/>
        </w:rPr>
        <w:t xml:space="preserve">barandilla</w:t>
      </w:r>
      <w:r>
        <w:t xml:space="preserve"> </w:t>
      </w:r>
      <w:r>
        <w:t xml:space="preserve">sobre lo que lee el LLM y es auditable por el analista de dominio. Para incorporar una redacción o un indicador nuevo se edita el YAML; no hace falta tocar código. Los 4 indicadores del formato normalizado están definidos de esa forma.</w:t>
      </w:r>
    </w:p>
    <w:bookmarkEnd w:id="15"/>
    <w:bookmarkStart w:id="19" w:name="verificación-contra-alucinaciones"/>
    <w:p>
      <w:pPr>
        <w:pStyle w:val="Heading2"/>
      </w:pPr>
      <w:r>
        <w:t xml:space="preserve">3.3 Verificación contra alucinaciones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El LLM lee, el código calcula.</w:t>
      </w:r>
      <w:r>
        <w:t xml:space="preserve"> </w:t>
      </w:r>
      <w:r>
        <w:t xml:space="preserve">El LLM devuelve el número tal como está escrito, con la página y la cita. Las sumas, restas y conversiones de unidad las hace el módulo 4.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Verificación literal.</w:t>
      </w:r>
      <w:r>
        <w:t xml:space="preserve"> </w:t>
      </w:r>
      <w:r>
        <w:t xml:space="preserve">Si el número no aparece en la página citada, la lectura se rechaza.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Doble lectura independiente.</w:t>
      </w:r>
      <w:r>
        <w:t xml:space="preserve"> </w:t>
      </w:r>
      <w:r>
        <w:t xml:space="preserve">Reglas y LLM leen cada campo por separado. Solo el acuerdo entre ambos da confianza alta.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Barandilla de unidad.</w:t>
      </w:r>
      <w:r>
        <w:t xml:space="preserve"> </w:t>
      </w:r>
      <w:r>
        <w:t xml:space="preserve">Si la reserva promedio por juicio no es verosímil con la unidad leída y sí lo es con la del otro método, el sistema corrige la unidad y avisa. Así resolvió el caso</w:t>
      </w:r>
      <w:r>
        <w:t xml:space="preserve"> </w:t>
      </w:r>
      <w:r>
        <w:t xml:space="preserve">“en millones”</w:t>
      </w:r>
      <w:r>
        <w:t xml:space="preserve"> </w:t>
      </w:r>
      <w:r>
        <w:t xml:space="preserve">(Figura 1).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Abstención.</w:t>
      </w:r>
      <w:r>
        <w:t xml:space="preserve"> </w:t>
      </w:r>
      <w:r>
        <w:t xml:space="preserve">Si la entidad no informa un campo, el resultado esperado es</w:t>
      </w:r>
      <w:r>
        <w:t xml:space="preserve"> </w:t>
      </w:r>
      <w:r>
        <w:t xml:space="preserve">“faltante”</w:t>
      </w:r>
      <w:r>
        <w:t xml:space="preserve">, no un número inventado. El set de referencia incluye estos casos.</w:t>
      </w:r>
    </w:p>
    <w:p>
      <w:pPr>
        <w:pStyle w:val="CaptionedFigure"/>
      </w:pPr>
      <w:r>
        <w:drawing>
          <wp:inline>
            <wp:extent cx="5759999" cy="3599999"/>
            <wp:effectExtent b="0" l="0" r="0" t="0"/>
            <wp:docPr descr="Figura 1. Pantalla Documento: la barandilla de unidad detecta que “en millones” es inverosímil, usa pesos, abre una alerta para el actuario y muestra la evidencia y las lecturas por método para la revisión humana." title="" id="17" name="Picture"/>
            <a:graphic>
              <a:graphicData uri="http://schemas.openxmlformats.org/drawingml/2006/picture">
                <pic:pic>
                  <pic:nvPicPr>
                    <pic:cNvPr descr="../presentacion/img/documento_revision_unidad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5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1. Pantalla Documento: la barandilla de unidad detecta que</w:t>
      </w:r>
      <w:r>
        <w:t xml:space="preserve"> </w:t>
      </w:r>
      <w:r>
        <w:t xml:space="preserve">“en millones”</w:t>
      </w:r>
      <w:r>
        <w:t xml:space="preserve"> </w:t>
      </w:r>
      <w:r>
        <w:t xml:space="preserve">es inverosímil, usa pesos, abre una alerta para el actuario y muestra la evidencia y las lecturas por método para la revisión humana.</w:t>
      </w:r>
    </w:p>
    <w:bookmarkEnd w:id="19"/>
    <w:bookmarkStart w:id="23" w:name="revisión-humana-y-módulo-de-acción"/>
    <w:p>
      <w:pPr>
        <w:pStyle w:val="Heading2"/>
      </w:pPr>
      <w:r>
        <w:t xml:space="preserve">3.4 Revisión humana y módulo de acción</w:t>
      </w:r>
    </w:p>
    <w:p>
      <w:pPr>
        <w:pStyle w:val="FirstParagraph"/>
      </w:pPr>
      <w:r>
        <w:t xml:space="preserve">El sistema no publica nada sin control. Cada valor tiene un estado (ok, revisar o faltante). En la pantalla Documento, el analista ve el valor resaltado sobre la página del PDF y las lecturas de cada método, y puede</w:t>
      </w:r>
      <w:r>
        <w:t xml:space="preserve"> </w:t>
      </w:r>
      <w:r>
        <w:rPr>
          <w:b/>
          <w:bCs/>
        </w:rPr>
        <w:t xml:space="preserve">aprobar o corregir</w:t>
      </w:r>
      <w:r>
        <w:t xml:space="preserve"> </w:t>
      </w:r>
      <w:r>
        <w:t xml:space="preserve">con su nombre. Las alertas no quedan en un log: el módulo 8 las rutea según</w:t>
      </w:r>
      <w:r>
        <w:t xml:space="preserve"> </w:t>
      </w:r>
      <w:r>
        <w:rPr>
          <w:rStyle w:val="VerbatimChar"/>
        </w:rPr>
        <w:t xml:space="preserve">config/responsables.yaml</w:t>
      </w:r>
      <w:r>
        <w:t xml:space="preserve">. Por ejemplo, un problema de unidad va al actuario y un faltante va al analista. Cada notificación incluye una</w:t>
      </w:r>
      <w:r>
        <w:t xml:space="preserve"> </w:t>
      </w:r>
      <w:r>
        <w:rPr>
          <w:b/>
          <w:bCs/>
        </w:rPr>
        <w:t xml:space="preserve">acción concreta sugerida</w:t>
      </w:r>
      <w:r>
        <w:t xml:space="preserve">, la página y la evidencia. El líder recibe además un reporte por documento y uno consolidado.</w:t>
      </w:r>
    </w:p>
    <w:p>
      <w:pPr>
        <w:pStyle w:val="CaptionedFigure"/>
      </w:pPr>
      <w:r>
        <w:drawing>
          <wp:inline>
            <wp:extent cx="5759999" cy="3599999"/>
            <wp:effectExtent b="0" l="0" r="0" t="0"/>
            <wp:docPr descr="Figura 2. Pantalla Documento: valores estandarizados en pesos con estado, método, página, confianza y evidencia. El caso es Latitud Sur (prosa con resta): la reserva a cargo de la entidad ($5.101.173.002) se deriva de la bruta menos FFEP y reaseguro." title="" id="21" name="Picture"/>
            <a:graphic>
              <a:graphicData uri="http://schemas.openxmlformats.org/drawingml/2006/picture">
                <pic:pic>
                  <pic:nvPicPr>
                    <pic:cNvPr descr="../presentacion/img/documento_valore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5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2. Pantalla Documento: valores estandarizados en pesos con estado, método, página, confianza y evidencia. El caso es Latitud Sur (prosa con resta): la reserva a cargo de la entidad ($5.101.173.002) se deriva de la bruta menos FFEP y reaseguro.</w:t>
      </w:r>
    </w:p>
    <w:bookmarkEnd w:id="23"/>
    <w:bookmarkStart w:id="24" w:name="técnicas-de-text-mining-aplicadas"/>
    <w:p>
      <w:pPr>
        <w:pStyle w:val="Heading2"/>
      </w:pPr>
      <w:r>
        <w:t xml:space="preserve">3.5 Técnicas de Text Mining aplicadas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Técnica</w:t>
            </w:r>
          </w:p>
        </w:tc>
        <w:tc>
          <w:tcPr/>
          <w:p>
            <w:pPr>
              <w:pStyle w:val="Compact"/>
            </w:pPr>
            <w:r>
              <w:t xml:space="preserve">Cómo se aplica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Proceso completo de NLP</w:t>
            </w:r>
          </w:p>
        </w:tc>
        <w:tc>
          <w:tcPr/>
          <w:p>
            <w:pPr>
              <w:pStyle w:val="Compact"/>
            </w:pPr>
            <w:r>
              <w:t xml:space="preserve">Adquisición (M1) → limpieza y OCR (M2) → representación con BM25 y embeddings (M3, M7) → extracción con reglas y LLM (M3) → evaluación (</w:t>
            </w:r>
            <w:r>
              <w:rPr>
                <w:rStyle w:val="VerbatimChar"/>
              </w:rPr>
              <w:t xml:space="preserve">necc evaluar</w:t>
            </w:r>
            <w:r>
              <w:t xml:space="preserve">) → despliegue (M6, M8)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BM25 guiado por la ontología</w:t>
            </w:r>
          </w:p>
        </w:tc>
        <w:tc>
          <w:tcPr/>
          <w:p>
            <w:pPr>
              <w:pStyle w:val="Compact"/>
            </w:pPr>
            <w:r>
              <w:t xml:space="preserve">Los sinónimos de la ontología forman la consulta que localiza las 2–4 páginas relevantes en notas de 11–38 páginas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Salida estructurada del LLM validada</w:t>
            </w:r>
          </w:p>
        </w:tc>
        <w:tc>
          <w:tcPr/>
          <w:p>
            <w:pPr>
              <w:pStyle w:val="Compact"/>
            </w:pPr>
            <w:r>
              <w:t xml:space="preserve">Temperatura 0, JSON con esquema validado con Pydantic, número literal con página y cita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Verificación literal contra alucinaciones</w:t>
            </w:r>
          </w:p>
        </w:tc>
        <w:tc>
          <w:tcPr/>
          <w:p>
            <w:pPr>
              <w:pStyle w:val="Compact"/>
            </w:pPr>
            <w:r>
              <w:t xml:space="preserve">Cada número debe aparecer en la página citada; si no, se rechaza. Abstención con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cuando la entidad no informa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Búsqueda híbrida BM25 + embeddings con RRF</w:t>
            </w:r>
          </w:p>
        </w:tc>
        <w:tc>
          <w:tcPr/>
          <w:p>
            <w:pPr>
              <w:pStyle w:val="Compact"/>
            </w:pPr>
            <w:r>
              <w:t xml:space="preserve">Consulta libre sobre el corpus con prompt anclado y citas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Evaluación por componente</w:t>
            </w:r>
          </w:p>
        </w:tc>
        <w:tc>
          <w:tcPr/>
          <w:p>
            <w:pPr>
              <w:pStyle w:val="Compact"/>
            </w:pPr>
            <w:r>
              <w:t xml:space="preserve">Localización por separado y exactitud por campo y por método contra un set de referencia verificado a mano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Human-in-the-loop</w:t>
            </w:r>
          </w:p>
        </w:tc>
        <w:tc>
          <w:tcPr/>
          <w:p>
            <w:pPr>
              <w:pStyle w:val="Compact"/>
            </w:pPr>
            <w:r>
              <w:t xml:space="preserve">Estados por campo, alertas ruteadas con acción sugerida, aprobación o corrección con nombre</w:t>
            </w:r>
          </w:p>
        </w:tc>
      </w:tr>
    </w:tbl>
    <w:bookmarkEnd w:id="24"/>
    <w:bookmarkEnd w:id="25"/>
    <w:bookmarkStart w:id="26" w:name="criterios-aplicados"/>
    <w:p>
      <w:pPr>
        <w:pStyle w:val="Heading1"/>
      </w:pPr>
      <w:r>
        <w:t xml:space="preserve">4. Criterios aplicados</w:t>
      </w:r>
    </w:p>
    <w:p>
      <w:pPr>
        <w:pStyle w:val="FirstParagraph"/>
      </w:pPr>
      <w:r>
        <w:t xml:space="preserve">Estos criterios están codificados en la ontología y en el set de referencia, y se ratifican con el área usuaria en el mes 1 (Diagnóstico):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Criterio aplicado</w:t>
            </w:r>
          </w:p>
        </w:tc>
        <w:tc>
          <w:tcPr/>
          <w:p>
            <w:pPr>
              <w:pStyle w:val="Compact"/>
            </w:pPr>
            <w:r>
              <w:t xml:space="preserve">Fundamento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 por reclamaciones judiciales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Neta</w:t>
            </w:r>
            <w:r>
              <w:t xml:space="preserve"> </w:t>
            </w:r>
            <w:r>
              <w:t xml:space="preserve">de la porción a cargo del FFEP y del reaseguro</w:t>
            </w:r>
          </w:p>
        </w:tc>
        <w:tc>
          <w:tcPr/>
          <w:p>
            <w:pPr>
              <w:pStyle w:val="Compact"/>
            </w:pPr>
            <w:r>
              <w:t xml:space="preserve">Variante Latitud Sur de Info NECC; consistente con el</w:t>
            </w:r>
            <w:r>
              <w:t xml:space="preserve"> </w:t>
            </w:r>
            <w:r>
              <w:t xml:space="preserve">“Saldo según Sinensup”</w:t>
            </w:r>
            <w:r>
              <w:t xml:space="preserve"> </w:t>
            </w:r>
            <w:r>
              <w:t xml:space="preserve">de Prevención 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 por pasivo global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Bruta</w:t>
            </w:r>
            <w:r>
              <w:t xml:space="preserve">; si solo se informa neta, bruta = neta + pagos parciales</w:t>
            </w:r>
          </w:p>
        </w:tc>
        <w:tc>
          <w:tcPr/>
          <w:p>
            <w:pPr>
              <w:pStyle w:val="Compact"/>
            </w:pPr>
            <w:r>
              <w:t xml:space="preserve">Info NECC lista</w:t>
            </w:r>
            <w:r>
              <w:t xml:space="preserve"> </w:t>
            </w:r>
            <w:r>
              <w:t xml:space="preserve">“neto de pagos parciales”</w:t>
            </w:r>
            <w:r>
              <w:t xml:space="preserve"> </w:t>
            </w:r>
            <w:r>
              <w:t xml:space="preserve">como variante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Juicios abiertos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Total, incluidos COVID</w:t>
            </w:r>
            <w:r>
              <w:t xml:space="preserve">; si viene separado, sin + con pagos parciales</w:t>
            </w:r>
          </w:p>
        </w:tc>
        <w:tc>
          <w:tcPr/>
          <w:p>
            <w:pPr>
              <w:pStyle w:val="Compact"/>
            </w:pPr>
            <w:r>
              <w:t xml:space="preserve">Info NECC:</w:t>
            </w:r>
            <w:r>
              <w:t xml:space="preserve"> </w:t>
            </w:r>
            <w:r>
              <w:t xml:space="preserve">“Cantidad TOTAL de juicios abiertos (incluidos casos COVID)”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Cuadros comparativos</w:t>
            </w:r>
          </w:p>
        </w:tc>
        <w:tc>
          <w:tcPr/>
          <w:p>
            <w:pPr>
              <w:pStyle w:val="Compact"/>
            </w:pPr>
            <w:r>
              <w:t xml:space="preserve">Siempre el período de la fecha de balance</w:t>
            </w:r>
          </w:p>
        </w:tc>
        <w:tc>
          <w:tcPr/>
          <w:p>
            <w:pPr>
              <w:pStyle w:val="Compact"/>
            </w:pPr>
            <w:r>
              <w:t xml:space="preserve">Evita tomar la columna del año anterior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Unidades</w:t>
            </w:r>
          </w:p>
        </w:tc>
        <w:tc>
          <w:tcPr/>
          <w:p>
            <w:pPr>
              <w:pStyle w:val="Compact"/>
            </w:pPr>
            <w:r>
              <w:t xml:space="preserve">Todo se normaliza a pesos; la unidad declarada se contrasta con la barandilla</w:t>
            </w:r>
          </w:p>
        </w:tc>
        <w:tc>
          <w:tcPr/>
          <w:p>
            <w:pPr>
              <w:pStyle w:val="Compact"/>
            </w:pPr>
            <w:r>
              <w:t xml:space="preserve">Casos</w:t>
            </w:r>
            <w:r>
              <w:t xml:space="preserve"> </w:t>
            </w:r>
            <w:r>
              <w:t xml:space="preserve">“EECC en miles, notas en pesos”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“en millones”</w:t>
            </w:r>
          </w:p>
        </w:tc>
      </w:tr>
    </w:tbl>
    <w:bookmarkEnd w:id="26"/>
    <w:bookmarkStart w:id="33" w:name="resultados-del-mvp"/>
    <w:p>
      <w:pPr>
        <w:pStyle w:val="Heading1"/>
      </w:pPr>
      <w:r>
        <w:t xml:space="preserve">5. Resultados del MVP</w:t>
      </w:r>
    </w:p>
    <w:bookmarkStart w:id="27" w:name="diseño-de-la-evaluación"/>
    <w:p>
      <w:pPr>
        <w:pStyle w:val="Heading2"/>
      </w:pPr>
      <w:r>
        <w:t xml:space="preserve">5.1 Diseño de la evaluación</w:t>
      </w:r>
    </w:p>
    <w:p>
      <w:pPr>
        <w:pStyle w:val="FirstParagraph"/>
      </w:pPr>
      <w:r>
        <w:t xml:space="preserve">El set de referencia (</w:t>
      </w:r>
      <w:r>
        <w:rPr>
          <w:rStyle w:val="VerbatimChar"/>
        </w:rPr>
        <w:t xml:space="preserve">eval/gold.yaml</w:t>
      </w:r>
      <w:r>
        <w:t xml:space="preserve">) tiene 6 notas con valores verificados a mano contra cada PDF: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 notas reales al 31/03/2026:</w:t>
      </w:r>
      <w:r>
        <w:t xml:space="preserve"> </w:t>
      </w:r>
      <w:r>
        <w:t xml:space="preserve">La Holando, Productores de Frutas y Prevención ART. Cubren un cuadro de 2 columnas con texto libre en la celda; una lista con numerales romanos en prosa (EECC en miles, notas en pesos); y un cuadro comparativo 2026/2025 en miles, con los juicios separados y la reserva neta de FFEP.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 sintéticas</w:t>
      </w:r>
      <w:r>
        <w:t xml:space="preserve">, construidas con fragmentos de Info NECC para cubrir variantes difíciles que no estaban en las reales: un cuadro escaneado, un comparativo escaneado en miles y prosa con restas.</w:t>
      </w:r>
    </w:p>
    <w:p>
      <w:pPr>
        <w:pStyle w:val="FirstParagraph"/>
      </w:pPr>
      <w:r>
        <w:t xml:space="preserve">Son 9 campos por nota, es decir 54 valores. Cuando la entidad no informa un campo, el valor esperado es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(se mide la abstención). La evaluación corre con</w:t>
      </w:r>
      <w:r>
        <w:t xml:space="preserve"> </w:t>
      </w:r>
      <w:r>
        <w:rPr>
          <w:rStyle w:val="VerbatimChar"/>
        </w:rPr>
        <w:t xml:space="preserve">uv run necc evaluar</w:t>
      </w:r>
      <w:r>
        <w:t xml:space="preserve"> </w:t>
      </w:r>
      <w:r>
        <w:t xml:space="preserve">y compara tres configuraciones: solo reglas, IA sola e híbrido (el pipeline completo).</w:t>
      </w:r>
    </w:p>
    <w:bookmarkEnd w:id="27"/>
    <w:bookmarkStart w:id="28" w:name="resultados"/>
    <w:p>
      <w:pPr>
        <w:pStyle w:val="Heading2"/>
      </w:pPr>
      <w:r>
        <w:t xml:space="preserve">5.2 Resultados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Campos correctos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Exactitud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Notas 100 %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Unidad correcta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Reglas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54/54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6/6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 sola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51/54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94,4 %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Híbrido (pipeline)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54/54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6/6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6/6</w:t>
            </w:r>
          </w:p>
        </w:tc>
      </w:tr>
    </w:tbl>
    <w:p>
      <w:pPr>
        <w:pStyle w:val="BodyText"/>
      </w:pPr>
      <w:r>
        <w:t xml:space="preserve">La localización fue correcta en 6/6 notas.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1440"/>
        <w:gridCol w:w="144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Nota</w:t>
            </w:r>
          </w:p>
        </w:tc>
        <w:tc>
          <w:tcPr/>
          <w:p>
            <w:pPr>
              <w:pStyle w:val="Compact"/>
            </w:pPr>
            <w:r>
              <w:t xml:space="preserve">Variante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Reglas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IA sola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Híbrido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 revisar (híbrido)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doc_1 · La Holando</w:t>
            </w:r>
          </w:p>
        </w:tc>
        <w:tc>
          <w:tcPr/>
          <w:p>
            <w:pPr>
              <w:pStyle w:val="Compact"/>
            </w:pPr>
            <w:r>
              <w:t xml:space="preserve">Cuadro de 2 columnas con texto libre en celda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doc_2 · Productores de Frutas</w:t>
            </w:r>
          </w:p>
        </w:tc>
        <w:tc>
          <w:tcPr/>
          <w:p>
            <w:pPr>
              <w:pStyle w:val="Compact"/>
            </w:pPr>
            <w:r>
              <w:t xml:space="preserve">Lista en prosa; EECC en miles, notas en pesos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doc_3 · Prevención ART</w:t>
            </w:r>
          </w:p>
        </w:tc>
        <w:tc>
          <w:tcPr/>
          <w:p>
            <w:pPr>
              <w:pStyle w:val="Compact"/>
            </w:pPr>
            <w:r>
              <w:t xml:space="preserve">Comparativo 2026/2025 en miles; reserva neta de FFEP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sintético A</w:t>
            </w:r>
          </w:p>
        </w:tc>
        <w:tc>
          <w:tcPr/>
          <w:p>
            <w:pPr>
              <w:pStyle w:val="Compact"/>
            </w:pPr>
            <w:r>
              <w:t xml:space="preserve">Cuadro escaneado (OCR)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sintético B</w:t>
            </w:r>
          </w:p>
        </w:tc>
        <w:tc>
          <w:tcPr/>
          <w:p>
            <w:pPr>
              <w:pStyle w:val="Compact"/>
            </w:pPr>
            <w:r>
              <w:t xml:space="preserve">Comparativo escaneado en miles (OCR)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sintético C</w:t>
            </w:r>
          </w:p>
        </w:tc>
        <w:tc>
          <w:tcPr/>
          <w:p>
            <w:pPr>
              <w:pStyle w:val="Compact"/>
            </w:pPr>
            <w:r>
              <w:t xml:space="preserve">Prosa; reserva con resta de FFEP y reaseguro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Errores de la IA sola.</w:t>
      </w:r>
      <w:r>
        <w:t xml:space="preserve"> </w:t>
      </w:r>
      <w:r>
        <w:t xml:space="preserve">En el sintético A tomó</w:t>
      </w:r>
      <w:r>
        <w:t xml:space="preserve"> </w:t>
      </w:r>
      <w:r>
        <w:t xml:space="preserve">“millones”</w:t>
      </w:r>
      <w:r>
        <w:t xml:space="preserve"> </w:t>
      </w:r>
      <w:r>
        <w:t xml:space="preserve">del pie de la imagen y multiplicó tres montos por 10⁶. Por ejemplo, la reserva por reclamaciones dio 4.651.156.507.000.000 en lugar de 4.651.156.507.</w:t>
      </w:r>
    </w:p>
    <w:p>
      <w:pPr>
        <w:pStyle w:val="BodyText"/>
      </w:pPr>
      <w:r>
        <w:t xml:space="preserve">El híbrido corrige el error con la barandilla de unidad y las reglas, y</w:t>
      </w:r>
      <w:r>
        <w:t xml:space="preserve"> </w:t>
      </w:r>
      <w:r>
        <w:rPr>
          <w:b/>
          <w:bCs/>
        </w:rPr>
        <w:t xml:space="preserve">además deja alertas</w:t>
      </w:r>
      <w:r>
        <w:t xml:space="preserve"> </w:t>
      </w:r>
      <w:r>
        <w:t xml:space="preserve">(4 campos a revisar) para que una persona confirme.</w:t>
      </w:r>
    </w:p>
    <w:p>
      <w:pPr>
        <w:pStyle w:val="BodyText"/>
      </w:pPr>
      <w:r>
        <w:t xml:space="preserve">La IA no es determinista: en una corrida anterior la IA sola dio 50/54 (92,6 %), porque además omitió la reserva por reclamaciones del sintético B. El híbrido dio 54/54 en ambas corridas.</w:t>
      </w:r>
    </w:p>
    <w:p>
      <w:pPr>
        <w:pStyle w:val="BodyText"/>
      </w:pPr>
      <w:r>
        <w:rPr>
          <w:b/>
          <w:bCs/>
        </w:rPr>
        <w:t xml:space="preserve">Otras mediciones.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Medición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por nota</w:t>
            </w:r>
          </w:p>
        </w:tc>
        <w:tc>
          <w:tcPr/>
          <w:p>
            <w:pPr>
              <w:pStyle w:val="Compact"/>
            </w:pPr>
            <w:r>
              <w:t xml:space="preserve">9–21 s de punta a punta (medido en la bitácora de las 6 notas)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Tokens en doc_3 (38 páginas, la más larga)</w:t>
            </w:r>
          </w:p>
        </w:tc>
        <w:tc>
          <w:tcPr/>
          <w:p>
            <w:pPr>
              <w:pStyle w:val="Compact"/>
            </w:pPr>
            <w:r>
              <w:t xml:space="preserve">4.490 de entrada y 3.821 de salida (incluye 2.658 de</w:t>
            </w:r>
            <w:r>
              <w:t xml:space="preserve"> </w:t>
            </w:r>
            <w:r>
              <w:t xml:space="preserve">“thinking”</w:t>
            </w:r>
            <w:r>
              <w:t xml:space="preserve">) en la extracción; ≈ 36 mil para los embeddings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 de API</w:t>
            </w:r>
          </w:p>
        </w:tc>
        <w:tc>
          <w:tcPr/>
          <w:p>
            <w:pPr>
              <w:pStyle w:val="Compact"/>
            </w:pPr>
            <w:r>
              <w:t xml:space="preserve">≈ USD 0,02 por nota, más ≈ USD 0,002 por imagen con OCR.</w:t>
            </w:r>
            <w:r>
              <w:t xml:space="preserve"> </w:t>
            </w:r>
            <w:r>
              <w:rPr>
                <w:i/>
                <w:iCs/>
              </w:rPr>
              <w:t xml:space="preserve">Estimación</w:t>
            </w:r>
            <w:r>
              <w:t xml:space="preserve">, ver sección 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automáticos</w:t>
            </w:r>
          </w:p>
        </w:tc>
        <w:tc>
          <w:tcPr/>
          <w:p>
            <w:pPr>
              <w:pStyle w:val="Compact"/>
            </w:pPr>
            <w:r>
              <w:t xml:space="preserve">33, sobre la parte determinística y la degradación ante fallas: números argentinos, reglas, verificación literal, derivaciones, validaciones, barandilla de unidad, falla del LLM y del OCR</w:t>
            </w:r>
          </w:p>
        </w:tc>
      </w:tr>
    </w:tbl>
    <w:bookmarkEnd w:id="28"/>
    <w:bookmarkStart w:id="32" w:name="limitaciones"/>
    <w:p>
      <w:pPr>
        <w:pStyle w:val="Heading2"/>
      </w:pPr>
      <w:r>
        <w:t xml:space="preserve">5.3 Limitaciones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Las reglas se ajustaron sobre estas mismas notas, así que el 54/54 es optimista.</w:t>
      </w:r>
      <w:r>
        <w:t xml:space="preserve"> </w:t>
      </w:r>
      <w:r>
        <w:t xml:space="preserve">Mide cobertura de casos conocidos, no generalización. En notas nuevas es esperable que la IA generalice mejor y que las reglas fallen más; por eso el diseño es híbrido, con dos lectores de sesgos distintos y verificación cruzada. El piloto mide sobre un trimestre completo de notas no vistas.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Set chico y en parte sintético.</w:t>
      </w:r>
      <w:r>
        <w:t xml:space="preserve"> </w:t>
      </w:r>
      <w:r>
        <w:t xml:space="preserve">Son 6 notas, y la mitad son sintéticas. No alcanza para dar intervalos de confianza ni para afirmar una exactitud de producción.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El valor del híbrido no es solo el acierto.</w:t>
      </w:r>
      <w:r>
        <w:t xml:space="preserve"> </w:t>
      </w:r>
      <w:r>
        <w:t xml:space="preserve">Convierte los errores en</w:t>
      </w:r>
      <w:r>
        <w:t xml:space="preserve"> </w:t>
      </w:r>
      <w:r>
        <w:rPr>
          <w:b/>
          <w:bCs/>
        </w:rPr>
        <w:t xml:space="preserve">alertas revisables</w:t>
      </w:r>
      <w:r>
        <w:t xml:space="preserve">. Un error detectado y ruteado vale más que un acierto sin trazabilidad.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Tiempo manual sin medir.</w:t>
      </w:r>
      <w:r>
        <w:t xml:space="preserve"> </w:t>
      </w:r>
      <w:r>
        <w:t xml:space="preserve">Los 20 min por nota son un supuesto; la línea de base se mide en el mes 1.</w:t>
      </w:r>
    </w:p>
    <w:p>
      <w:pPr>
        <w:pStyle w:val="CaptionedFigure"/>
      </w:pPr>
      <w:r>
        <w:drawing>
          <wp:inline>
            <wp:extent cx="5759999" cy="3599999"/>
            <wp:effectExtent b="0" l="0" r="0" t="0"/>
            <wp:docPr descr="Figura 3. Tablero: Excel base consolidado de las 6 entidades del set de prueba, KPIs, descarga con trazabilidad y alertas, e indicadores comparados." title="" id="30" name="Picture"/>
            <a:graphic>
              <a:graphicData uri="http://schemas.openxmlformats.org/drawingml/2006/picture">
                <pic:pic>
                  <pic:nvPicPr>
                    <pic:cNvPr descr="../presentacion/img/tablero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5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3. Tablero: Excel base consolidado de las 6 entidades del set de prueba, KPIs, descarga con trazabilidad y alertas, e indicadores comparados.</w:t>
      </w:r>
    </w:p>
    <w:bookmarkEnd w:id="32"/>
    <w:bookmarkEnd w:id="33"/>
    <w:bookmarkStart w:id="34" w:name="plan-del-piloto"/>
    <w:p>
      <w:pPr>
        <w:pStyle w:val="Heading1"/>
      </w:pPr>
      <w:r>
        <w:t xml:space="preserve">6. Plan del piloto</w:t>
      </w:r>
    </w:p>
    <w:p>
      <w:pPr>
        <w:pStyle w:val="FirstParagraph"/>
      </w:pPr>
      <w:r>
        <w:t xml:space="preserve">Cada mes termina en un</w:t>
      </w:r>
      <w:r>
        <w:t xml:space="preserve"> </w:t>
      </w:r>
      <w:r>
        <w:rPr>
          <w:b/>
          <w:bCs/>
        </w:rPr>
        <w:t xml:space="preserve">punto de decisión</w:t>
      </w:r>
      <w:r>
        <w:t xml:space="preserve">: continuar, ajustar o detener.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</w:t>
            </w:r>
          </w:p>
        </w:tc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Actividades</w:t>
            </w:r>
          </w:p>
        </w:tc>
        <w:tc>
          <w:tcPr/>
          <w:p>
            <w:pPr>
              <w:pStyle w:val="Compact"/>
            </w:pPr>
            <w:r>
              <w:t xml:space="preserve">Entregable</w:t>
            </w:r>
          </w:p>
        </w:tc>
        <w:tc>
          <w:tcPr/>
          <w:p>
            <w:pPr>
              <w:pStyle w:val="Compact"/>
            </w:pPr>
            <w:r>
              <w:t xml:space="preserve">Punto de decisión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Diagnóstico</w:t>
            </w:r>
          </w:p>
        </w:tc>
        <w:tc>
          <w:tcPr/>
          <w:p>
            <w:pPr>
              <w:pStyle w:val="Compact"/>
            </w:pPr>
            <w:r>
              <w:t xml:space="preserve">Medir la línea de base manual (tiempo y errores por nota). Juntar un trimestre completo de notas de todas las ART. Ratificar los criterios aplicados. Etiquetar a mano notas no vistas para el set de referencia</w:t>
            </w:r>
          </w:p>
        </w:tc>
        <w:tc>
          <w:tcPr/>
          <w:p>
            <w:pPr>
              <w:pStyle w:val="Compact"/>
            </w:pPr>
            <w:r>
              <w:t xml:space="preserve">Informe de línea de base, set de referencia ampliado y criterios firmados</w:t>
            </w:r>
          </w:p>
        </w:tc>
        <w:tc>
          <w:tcPr/>
          <w:p>
            <w:pPr>
              <w:pStyle w:val="Compact"/>
            </w:pPr>
            <w:r>
              <w:t xml:space="preserve">¿Los criterios y la línea de base justifican seguir?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Piloto</w:t>
            </w:r>
          </w:p>
        </w:tc>
        <w:tc>
          <w:tcPr/>
          <w:p>
            <w:pPr>
              <w:pStyle w:val="Compact"/>
            </w:pPr>
            <w:r>
              <w:t xml:space="preserve">Procesar un trimestre completo de notas no vistas. Ajustar la ontología con las variantes nuevas. Medir por método y por campo</w:t>
            </w:r>
          </w:p>
        </w:tc>
        <w:tc>
          <w:tcPr/>
          <w:p>
            <w:pPr>
              <w:pStyle w:val="Compact"/>
            </w:pPr>
            <w:r>
              <w:t xml:space="preserve">Excel base del trimestre e informe de evaluación</w:t>
            </w:r>
          </w:p>
        </w:tc>
        <w:tc>
          <w:tcPr/>
          <w:p>
            <w:pPr>
              <w:pStyle w:val="Compact"/>
            </w:pPr>
            <w:r>
              <w:t xml:space="preserve">¿Se alcanzan las metas del piloto?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En paralelo</w:t>
            </w:r>
          </w:p>
        </w:tc>
        <w:tc>
          <w:tcPr/>
          <w:p>
            <w:pPr>
              <w:pStyle w:val="Compact"/>
            </w:pPr>
            <w:r>
              <w:t xml:space="preserve">Correr el sistema junto al proceso manual durante un trimestre. Integrar la descarga desde la SSN y Slack o email reales</w:t>
            </w:r>
          </w:p>
        </w:tc>
        <w:tc>
          <w:tcPr/>
          <w:p>
            <w:pPr>
              <w:pStyle w:val="Compact"/>
            </w:pPr>
            <w:r>
              <w:t xml:space="preserve">Comparación sistema vs. manual y manual de operación</w:t>
            </w:r>
          </w:p>
        </w:tc>
        <w:tc>
          <w:tcPr/>
          <w:p>
            <w:pPr>
              <w:pStyle w:val="Compact"/>
            </w:pPr>
            <w:r>
              <w:t xml:space="preserve">¿Pasa a producción?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4+</w:t>
            </w:r>
          </w:p>
        </w:tc>
        <w:tc>
          <w:tcPr/>
          <w:p>
            <w:pPr>
              <w:pStyle w:val="Compact"/>
            </w:pPr>
            <w:r>
              <w:t xml:space="preserve">Producción</w:t>
            </w:r>
          </w:p>
        </w:tc>
        <w:tc>
          <w:tcPr/>
          <w:p>
            <w:pPr>
              <w:pStyle w:val="Compact"/>
            </w:pPr>
            <w:r>
              <w:t xml:space="preserve">Operación trimestral, series históricas y tablero de tendencias</w:t>
            </w:r>
          </w:p>
        </w:tc>
        <w:tc>
          <w:tcPr/>
          <w:p>
            <w:pPr>
              <w:pStyle w:val="Compact"/>
            </w:pPr>
            <w:r>
              <w:t xml:space="preserve">Sistema en producción</w:t>
            </w:r>
          </w:p>
        </w:tc>
        <w:tc>
          <w:tcPr/>
          <w:p>
            <w:pPr>
              <w:pStyle w:val="Compact"/>
            </w:pPr>
            <w:r>
              <w:t xml:space="preserve">Revisión trimestral de indicadores</w:t>
            </w:r>
          </w:p>
        </w:tc>
      </w:tr>
    </w:tbl>
    <w:p>
      <w:pPr>
        <w:pStyle w:val="BodyText"/>
      </w:pPr>
      <w:r>
        <w:rPr>
          <w:b/>
          <w:bCs/>
        </w:rPr>
        <w:t xml:space="preserve">Metas del piloto.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Campos correctos sin intervención, en notas no vistas</w:t>
            </w:r>
          </w:p>
        </w:tc>
        <w:tc>
          <w:tcPr/>
          <w:p>
            <w:pPr>
              <w:pStyle w:val="Compact"/>
            </w:pPr>
            <w:r>
              <w:t xml:space="preserve">≥ 95 %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Valores con página y cita</w:t>
            </w:r>
          </w:p>
        </w:tc>
        <w:tc>
          <w:tcPr/>
          <w:p>
            <w:pPr>
              <w:pStyle w:val="Compact"/>
            </w:pPr>
            <w:r>
              <w:t xml:space="preserve">100 %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Desacuerdos entre métodos con alerta</w:t>
            </w:r>
          </w:p>
        </w:tc>
        <w:tc>
          <w:tcPr/>
          <w:p>
            <w:pPr>
              <w:pStyle w:val="Compact"/>
            </w:pPr>
            <w:r>
              <w:t xml:space="preserve">100 %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de analista por nota</w:t>
            </w:r>
          </w:p>
        </w:tc>
        <w:tc>
          <w:tcPr/>
          <w:p>
            <w:pPr>
              <w:pStyle w:val="Compact"/>
            </w:pPr>
            <w:r>
              <w:t xml:space="preserve">≤ 5 min (meta, contra la línea de base medida en el mes 1)</w:t>
            </w:r>
          </w:p>
        </w:tc>
      </w:tr>
    </w:tbl>
    <w:bookmarkEnd w:id="34"/>
    <w:bookmarkStart w:id="35" w:name="gobernanza"/>
    <w:p>
      <w:pPr>
        <w:pStyle w:val="Heading1"/>
      </w:pPr>
      <w:r>
        <w:t xml:space="preserve">7. Gobernanza</w:t>
      </w:r>
    </w:p>
    <w:p>
      <w:pPr>
        <w:pStyle w:val="FirstParagraph"/>
      </w:pPr>
      <w:r>
        <w:t xml:space="preserve">Un líder del lado del negocio es el patrocinador y decide en cada punto de decisión. El analista de dominio es dueño de la ontología y de los criterios, y revisa las alertas. El desarrollador de NLP es responsable del pipeline y de la evaluación. Cada cambio en la ontología se revisa antes de pasar a producción, igual que una regla de negocio.</w:t>
      </w:r>
    </w:p>
    <w:bookmarkEnd w:id="35"/>
    <w:bookmarkStart w:id="39" w:name="costos"/>
    <w:p>
      <w:pPr>
        <w:pStyle w:val="Heading1"/>
      </w:pPr>
      <w:r>
        <w:t xml:space="preserve">8. Costos</w:t>
      </w:r>
    </w:p>
    <w:p>
      <w:pPr>
        <w:pStyle w:val="FirstParagraph"/>
      </w:pPr>
      <w:r>
        <w:rPr>
          <w:b/>
          <w:bCs/>
        </w:rPr>
        <w:t xml:space="preserve">Todos los valores de esta sección son estimaciones.</w:t>
      </w:r>
      <w:r>
        <w:t xml:space="preserve"> </w:t>
      </w:r>
      <w:r>
        <w:t xml:space="preserve">Las dedicaciones, tarifas y montos de API y hosting son supuestos.</w:t>
      </w:r>
    </w:p>
    <w:bookmarkStart w:id="36" w:name="X3a60844ef8caa8e611cf42ef62a37fd58c6bc53"/>
    <w:p>
      <w:pPr>
        <w:pStyle w:val="Heading2"/>
      </w:pPr>
      <w:r>
        <w:t xml:space="preserve">8.1 Costo de API por nota (estimación sobre tokens medidos)</w:t>
      </w:r>
    </w:p>
    <w:p>
      <w:pPr>
        <w:pStyle w:val="FirstParagraph"/>
      </w:pPr>
      <w:r>
        <w:t xml:space="preserve">Para doc_3 (38 páginas, el caso más largo) usamos precios de lista supuestos: USD 0,30/M tokens de entrada, USD 2,50/M de salida y USD 0,15/M de embeddings. Hay que verificar los precios vigentes.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Tokens medidos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Precio supuesto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Extracción: entrada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 0,30/M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 0,0013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Extracción: salida (incluye 2.658 de</w:t>
            </w:r>
            <w:r>
              <w:t xml:space="preserve"> </w:t>
            </w:r>
            <w:r>
              <w:t xml:space="preserve">“thinking”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 2,50/M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 0,0096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 del documento completo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 36.000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 0,15/M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 0,0054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por nota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≈ USD 0,016, redondeado a ≈ USD 0,02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OCR, si hay imágenes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+ ≈ USD 0,002 por imagen</w:t>
            </w:r>
          </w:p>
        </w:tc>
      </w:tr>
    </w:tbl>
    <w:p>
      <w:pPr>
        <w:pStyle w:val="BodyText"/>
      </w:pPr>
      <w:r>
        <w:t xml:space="preserve">Equivale a ≈ USD 20 cada 1.000 notas.</w:t>
      </w:r>
    </w:p>
    <w:bookmarkEnd w:id="36"/>
    <w:bookmarkStart w:id="37" w:name="presupuesto-del-piloto-3-meses"/>
    <w:p>
      <w:pPr>
        <w:pStyle w:val="Heading2"/>
      </w:pPr>
      <w:r>
        <w:t xml:space="preserve">8.2 Presupuesto del piloto (3 meses)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Rubro</w:t>
            </w:r>
          </w:p>
        </w:tc>
        <w:tc>
          <w:tcPr/>
          <w:p>
            <w:pPr>
              <w:pStyle w:val="Compact"/>
            </w:pPr>
            <w:r>
              <w:t xml:space="preserve">Dedicación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Tarifa mensual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Desarrollador/a NLP</w:t>
            </w:r>
          </w:p>
        </w:tc>
        <w:tc>
          <w:tcPr/>
          <w:p>
            <w:pPr>
              <w:pStyle w:val="Compact"/>
            </w:pPr>
            <w:r>
              <w:t xml:space="preserve">100 %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 3.000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 9.000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Analista de dominio</w:t>
            </w:r>
          </w:p>
        </w:tc>
        <w:tc>
          <w:tcPr/>
          <w:p>
            <w:pPr>
              <w:pStyle w:val="Compact"/>
            </w:pPr>
            <w:r>
              <w:t xml:space="preserve">50 %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 2.400 (equivalente completo)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 3.600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Coordinación del proyecto</w:t>
            </w:r>
          </w:p>
        </w:tc>
        <w:tc>
          <w:tcPr/>
          <w:p>
            <w:pPr>
              <w:pStyle w:val="Compact"/>
            </w:pPr>
            <w:r>
              <w:t xml:space="preserve">10 %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 3.000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 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LLM, embeddings y OCR</w:t>
            </w:r>
          </w:p>
        </w:tc>
        <w:tc>
          <w:tcPr/>
          <w:p>
            <w:pPr>
              <w:pStyle w:val="Compact"/>
            </w:pPr>
            <w:r>
              <w:t xml:space="preserve">Techo para ≈ 500 procesamientos con reprocesos de ajuste, más consultas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USD 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 de la aplicación: VM chica sin GPU</w:t>
            </w:r>
          </w:p>
        </w:tc>
        <w:tc>
          <w:tcPr/>
          <w:p>
            <w:pPr>
              <w:pStyle w:val="Compact"/>
            </w:pPr>
            <w:r>
              <w:t xml:space="preserve">USD 50/mes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 150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USD 13.700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 para imprevistos</w:t>
            </w:r>
          </w:p>
        </w:tc>
        <w:tc>
          <w:tcPr/>
          <w:p>
            <w:pPr>
              <w:pStyle w:val="Compact"/>
            </w:pPr>
            <w:r>
              <w:t xml:space="preserve">10 %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USD 1.370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estimado del piloto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USD 15.070</w:t>
            </w:r>
          </w:p>
        </w:tc>
      </w:tr>
    </w:tbl>
    <w:p>
      <w:pPr>
        <w:pStyle w:val="BodyText"/>
      </w:pPr>
      <w:r>
        <w:t xml:space="preserve">Hay un punto de decisión al final de cada mes.</w:t>
      </w:r>
    </w:p>
    <w:bookmarkEnd w:id="37"/>
    <w:bookmarkStart w:id="38" w:name="Xcd69cec089814c5650c0cc3f22cd30f0d5485fb"/>
    <w:p>
      <w:pPr>
        <w:pStyle w:val="Heading2"/>
      </w:pPr>
      <w:r>
        <w:t xml:space="preserve">8.3 Operación posterior al piloto (estimación anual)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Rubro</w:t>
            </w:r>
          </w:p>
        </w:tc>
        <w:tc>
          <w:tcPr/>
          <w:p>
            <w:pPr>
              <w:pStyle w:val="Compact"/>
            </w:pPr>
            <w:r>
              <w:t xml:space="preserve">Cálculo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Mantenimiento del desarrollador, a demanda</w:t>
            </w:r>
          </w:p>
        </w:tc>
        <w:tc>
          <w:tcPr/>
          <w:p>
            <w:pPr>
              <w:pStyle w:val="Compact"/>
            </w:pPr>
            <w:r>
              <w:t xml:space="preserve">USD 3.000 × 12 × 5 %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 1.800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USD 50 × 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 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≈ USD 20 cada 1.000 notas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marginal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≈ USD 2.400/año</w:t>
            </w:r>
          </w:p>
        </w:tc>
      </w:tr>
    </w:tbl>
    <w:p>
      <w:pPr>
        <w:pStyle w:val="BodyText"/>
      </w:pPr>
      <w:r>
        <w:t xml:space="preserve">El analista de dominio del cliente revisa las alertas como parte de su rol actual, así que no es un costo adicional.</w:t>
      </w:r>
    </w:p>
    <w:bookmarkEnd w:id="38"/>
    <w:bookmarkEnd w:id="39"/>
    <w:bookmarkStart w:id="42" w:name="la-cuenta"/>
    <w:p>
      <w:pPr>
        <w:pStyle w:val="Heading1"/>
      </w:pPr>
      <w:r>
        <w:t xml:space="preserve">9. La cuenta</w:t>
      </w:r>
    </w:p>
    <w:bookmarkStart w:id="40" w:name="horas"/>
    <w:p>
      <w:pPr>
        <w:pStyle w:val="Heading2"/>
      </w:pPr>
      <w:r>
        <w:t xml:space="preserve">9.1 Horas</w:t>
      </w:r>
    </w:p>
    <w:p>
      <w:pPr>
        <w:pStyle w:val="Compact"/>
        <w:numPr>
          <w:ilvl w:val="0"/>
          <w:numId w:val="1008"/>
        </w:numPr>
      </w:pPr>
      <w:r>
        <w:t xml:space="preserve">15 ART × 4 trimestres =</w:t>
      </w:r>
      <w:r>
        <w:t xml:space="preserve"> </w:t>
      </w:r>
      <w:r>
        <w:rPr>
          <w:b/>
          <w:bCs/>
        </w:rPr>
        <w:t xml:space="preserve">60 notas por año</w:t>
      </w:r>
      <w:r>
        <w:t xml:space="preserve">. A 20 min por nota (</w:t>
      </w:r>
      <w:r>
        <w:rPr>
          <w:i/>
          <w:iCs/>
        </w:rPr>
        <w:t xml:space="preserve">supuesto</w:t>
      </w:r>
      <w:r>
        <w:t xml:space="preserve">, se mide en el mes 1) son</w:t>
      </w:r>
      <w:r>
        <w:t xml:space="preserve"> </w:t>
      </w:r>
      <w:r>
        <w:rPr>
          <w:b/>
          <w:bCs/>
        </w:rPr>
        <w:t xml:space="preserve">20 h por año</w:t>
      </w:r>
      <w:r>
        <w:t xml:space="preserve">, ≈</w:t>
      </w:r>
      <w:r>
        <w:t xml:space="preserve"> </w:t>
      </w:r>
      <w:r>
        <w:rPr>
          <w:b/>
          <w:bCs/>
        </w:rPr>
        <w:t xml:space="preserve">USD 300</w:t>
      </w:r>
      <w:r>
        <w:t xml:space="preserve"> </w:t>
      </w:r>
      <w:r>
        <w:t xml:space="preserve">a USD 15/h (analista a USD 2.400/mes).</w:t>
      </w:r>
    </w:p>
    <w:p>
      <w:pPr>
        <w:pStyle w:val="Compact"/>
        <w:numPr>
          <w:ilvl w:val="0"/>
          <w:numId w:val="1008"/>
        </w:numPr>
      </w:pPr>
      <w:r>
        <w:t xml:space="preserve">Cinco años de historia = 300 notas ≈ 100 h ≈ USD 1.500, por única vez.</w:t>
      </w:r>
    </w:p>
    <w:bookmarkEnd w:id="40"/>
    <w:bookmarkStart w:id="41" w:name="lo-que-compra-el-cliente"/>
    <w:p>
      <w:pPr>
        <w:pStyle w:val="Heading2"/>
      </w:pPr>
      <w:r>
        <w:t xml:space="preserve">9.2 Lo que compra el cliente</w:t>
      </w:r>
    </w:p>
    <w:p>
      <w:pPr>
        <w:pStyle w:val="FirstParagraph"/>
      </w:pPr>
      <w:r>
        <w:t xml:space="preserve">El caso no se apoya en horas ahorradas. Lo que compra el cliente 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Control de errores.</w:t>
      </w:r>
      <w:r>
        <w:t xml:space="preserve"> </w:t>
      </w:r>
      <w:r>
        <w:t xml:space="preserve">Caso real: un cuadro decía</w:t>
      </w:r>
      <w:r>
        <w:t xml:space="preserve"> </w:t>
      </w:r>
      <w:r>
        <w:t xml:space="preserve">“en millones”</w:t>
      </w:r>
      <w:r>
        <w:t xml:space="preserve">; tomado al pie de la letra, daba ARS 6,3 billones por juicio, una reserva × 1.000.000. El sistema lo detectó y alertó al actuario.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Trazabilidad para auditoría.</w:t>
      </w:r>
      <w:r>
        <w:t xml:space="preserve"> </w:t>
      </w:r>
      <w:r>
        <w:t xml:space="preserve">Cada valor tiene página y cita.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El dato el mismo día</w:t>
      </w:r>
      <w:r>
        <w:t xml:space="preserve"> </w:t>
      </w:r>
      <w:r>
        <w:t xml:space="preserve">en que se publica la nota.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Escala.</w:t>
      </w:r>
      <w:r>
        <w:t xml:space="preserve"> </w:t>
      </w:r>
      <w:r>
        <w:t xml:space="preserve">Los indicadores nuevos se suman por configuración: el formato normalizado RGAA 30.1.1.3 d ya agregó 4.</w:t>
      </w:r>
    </w:p>
    <w:bookmarkEnd w:id="41"/>
    <w:bookmarkEnd w:id="42"/>
    <w:bookmarkStart w:id="43" w:name="riesgos-y-mitigaciones"/>
    <w:p>
      <w:pPr>
        <w:pStyle w:val="Heading1"/>
      </w:pPr>
      <w:r>
        <w:t xml:space="preserve">10. Riesgos y mitigaciones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Exactitud real menor a la medida, porque las reglas se ajustaron sobre el set y el set es chico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Medir sobre un trimestre completo de notas no vistas, por método. Diseño híbrido con verificación cruzada. Meta y punto de decisión explícitos al final del mes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Cambios de formato o redacciones nuevas, incluida la transición al formato normalizado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Ontología editable sin tocar código. El LLM generaliza donde las reglas no llegan. Las discrepancias se convierten en alertas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de unidad (pesos, miles, millones)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Barandilla de unidad, normalización a pesos y aviso al actuario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Sobreconfianza en el sistema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Verificación literal, estados por campo, revisión humana obligatoria de lo marcado y trazabilidad página-cita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Dependencia del proveedor de LLM (precio, disponibilidad, cambios de modelo)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Proveedor aislado en</w:t>
            </w:r>
            <w:r>
              <w:t xml:space="preserve"> </w:t>
            </w:r>
            <w:r>
              <w:rPr>
                <w:rStyle w:val="VerbatimChar"/>
              </w:rPr>
              <w:t xml:space="preserve">llm.py</w:t>
            </w:r>
            <w:r>
              <w:t xml:space="preserve">, reemplazable por un modelo local (por ejemplo, Ollama), y re-evaluación con</w:t>
            </w:r>
            <w:r>
              <w:t xml:space="preserve"> </w:t>
            </w:r>
            <w:r>
              <w:rPr>
                <w:rStyle w:val="VerbatimChar"/>
              </w:rPr>
              <w:t xml:space="preserve">necc evaluar</w:t>
            </w:r>
            <w:r>
              <w:t xml:space="preserve"> </w:t>
            </w:r>
            <w:r>
              <w:t xml:space="preserve">ante cualquier cambio de modelo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Mala calidad de OCR en cuadros escaneados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OCR con modelo de visión (Tesseract como alternativa), doble lectura y alerta si los métodos no coinciden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Criterios no acordados (bruto/neto, COVID)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Ratificación formal en el mes 1; los criterios quedan codificados y versionados en la ontología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 de API mayor al estimado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Bajo</w:t>
            </w:r>
          </w:p>
        </w:tc>
        <w:tc>
          <w:tcPr/>
          <w:p>
            <w:pPr>
              <w:pStyle w:val="Compact"/>
            </w:pPr>
            <w:r>
              <w:t xml:space="preserve">≈ USD 20 cada 1.000 notas, techo presupuestado y precios a verificar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Dependencia de personas clave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Ontología y reglas en YAML legible, 33 tests automáticos y CLI documentada</w:t>
            </w:r>
          </w:p>
        </w:tc>
      </w:tr>
    </w:tbl>
    <w:bookmarkEnd w:id="43"/>
    <w:bookmarkStart w:id="44" w:name="pedido"/>
    <w:p>
      <w:pPr>
        <w:pStyle w:val="Heading1"/>
      </w:pPr>
      <w:r>
        <w:t xml:space="preserve">11. Pedido</w:t>
      </w:r>
    </w:p>
    <w:p>
      <w:pPr>
        <w:pStyle w:val="Compact"/>
        <w:numPr>
          <w:ilvl w:val="0"/>
          <w:numId w:val="1010"/>
        </w:numPr>
      </w:pPr>
      <w:r>
        <w:t xml:space="preserve">Aprobar el piloto de 3 meses (≈</w:t>
      </w:r>
      <w:r>
        <w:t xml:space="preserve"> </w:t>
      </w:r>
      <w:r>
        <w:rPr>
          <w:b/>
          <w:bCs/>
        </w:rPr>
        <w:t xml:space="preserve">USD 15.070</w:t>
      </w:r>
      <w:r>
        <w:t xml:space="preserve">, con decisión al final de cada mes).</w:t>
      </w:r>
    </w:p>
    <w:p>
      <w:pPr>
        <w:pStyle w:val="Compact"/>
        <w:numPr>
          <w:ilvl w:val="0"/>
          <w:numId w:val="1010"/>
        </w:numPr>
      </w:pPr>
      <w:r>
        <w:t xml:space="preserve">Designar un analista de dominio a media jornada.</w:t>
      </w:r>
    </w:p>
    <w:p>
      <w:pPr>
        <w:pStyle w:val="Compact"/>
        <w:numPr>
          <w:ilvl w:val="0"/>
          <w:numId w:val="1010"/>
        </w:numPr>
      </w:pPr>
      <w:r>
        <w:t xml:space="preserve">Dar acceso a un trimestre de notas y al Excel base actual.</w:t>
      </w:r>
    </w:p>
    <w:bookmarkEnd w:id="44"/>
    <w:bookmarkStart w:id="45" w:name="anexo-a.-cómo-ejecutar-el-mvp"/>
    <w:p>
      <w:pPr>
        <w:pStyle w:val="Heading1"/>
      </w:pPr>
      <w:r>
        <w:t xml:space="preserve">Anexo A. Cómo ejecutar el MVP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mvp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GEMINI_API_KEY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           </w:t>
      </w:r>
      <w:r>
        <w:rPr>
          <w:rStyle w:val="CommentTok"/>
        </w:rPr>
        <w:t xml:space="preserve"># o archivo mvp/.env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necc ejecutar data/muestras  </w:t>
      </w:r>
      <w:r>
        <w:rPr>
          <w:rStyle w:val="CommentTok"/>
        </w:rPr>
        <w:t xml:space="preserve"># descubre y procesa los 6 PDFs de ejemplo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web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web run build  </w:t>
      </w:r>
      <w:r>
        <w:rPr>
          <w:rStyle w:val="CommentTok"/>
        </w:rPr>
        <w:t xml:space="preserve"># una vez: compila la interfaz React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necc ui                      </w:t>
      </w:r>
      <w:r>
        <w:rPr>
          <w:rStyle w:val="CommentTok"/>
        </w:rPr>
        <w:t xml:space="preserve"># API + interfaz web en http://localhost:8000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necc evaluar                 </w:t>
      </w:r>
      <w:r>
        <w:rPr>
          <w:rStyle w:val="CommentTok"/>
        </w:rPr>
        <w:t xml:space="preserve"># reglas vs LLM vs híbrido contra eval/gold.yaml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                       </w:t>
      </w:r>
      <w:r>
        <w:rPr>
          <w:rStyle w:val="CommentTok"/>
        </w:rPr>
        <w:t xml:space="preserve"># 33 tests automáticos</w:t>
      </w:r>
    </w:p>
    <w:bookmarkEnd w:id="45"/>
    <w:bookmarkStart w:id="46" w:name="anexo-b.-estructura-del-repositorio-mvp"/>
    <w:p>
      <w:pPr>
        <w:pStyle w:val="Heading1"/>
      </w:pPr>
      <w:r>
        <w:t xml:space="preserve">Anexo B. Estructura del repositorio</w:t>
      </w:r>
      <w:r>
        <w:t xml:space="preserve"> </w:t>
      </w:r>
      <w:r>
        <w:rPr>
          <w:rStyle w:val="VerbatimChar"/>
        </w:rPr>
        <w:t xml:space="preserve">mvp/</w:t>
      </w:r>
    </w:p>
    <w:p>
      <w:pPr>
        <w:pStyle w:val="SourceCode"/>
      </w:pPr>
      <w:r>
        <w:rPr>
          <w:rStyle w:val="VerbatimChar"/>
        </w:rPr>
        <w:t xml:space="preserve">mvp/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pyproject.toml, uv.lock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ontologia.yaml          # 9 campos + 5 componentes: sinónimos, criterios, derivaciones, reglas</w:t>
      </w:r>
      <w:r>
        <w:br/>
      </w:r>
      <w:r>
        <w:rPr>
          <w:rStyle w:val="VerbatimChar"/>
        </w:rPr>
        <w:t xml:space="preserve">│   └── responsables.yaml       # ruteo de incidencias y canales (bandeja, Slack, email)</w:t>
      </w:r>
      <w:r>
        <w:br/>
      </w:r>
      <w:r>
        <w:rPr>
          <w:rStyle w:val="VerbatimChar"/>
        </w:rPr>
        <w:t xml:space="preserve">├── src/necc/</w:t>
      </w:r>
      <w:r>
        <w:br/>
      </w:r>
      <w:r>
        <w:rPr>
          <w:rStyle w:val="VerbatimChar"/>
        </w:rPr>
        <w:t xml:space="preserve">│   ├── cli.py                  # CLI `necc`</w:t>
      </w:r>
      <w:r>
        <w:br/>
      </w:r>
      <w:r>
        <w:rPr>
          <w:rStyle w:val="VerbatimChar"/>
        </w:rPr>
        <w:t xml:space="preserve">│   ├── config.py               # configuración (modelo LLM, embeddings, rutas)</w:t>
      </w:r>
      <w:r>
        <w:br/>
      </w:r>
      <w:r>
        <w:rPr>
          <w:rStyle w:val="VerbatimChar"/>
        </w:rPr>
        <w:t xml:space="preserve">│   ├── pipeline.py             # orquestador con bitácora por etapa</w:t>
      </w:r>
      <w:r>
        <w:br/>
      </w:r>
      <w:r>
        <w:rPr>
          <w:rStyle w:val="VerbatimChar"/>
        </w:rPr>
        <w:t xml:space="preserve">│   ├── llm.py                  # proveedor LLM aislado (Gemini; reemplazable)</w:t>
      </w:r>
      <w:r>
        <w:br/>
      </w:r>
      <w:r>
        <w:rPr>
          <w:rStyle w:val="VerbatimChar"/>
        </w:rPr>
        <w:t xml:space="preserve">│   ├── ontologia.py            # carga e interpretación de la ontología</w:t>
      </w:r>
      <w:r>
        <w:br/>
      </w:r>
      <w:r>
        <w:rPr>
          <w:rStyle w:val="VerbatimChar"/>
        </w:rPr>
        <w:t xml:space="preserve">│   ├── modelos.py              # contratos de datos entre módulos (dataclasses)</w:t>
      </w:r>
      <w:r>
        <w:br/>
      </w:r>
      <w:r>
        <w:rPr>
          <w:rStyle w:val="VerbatimChar"/>
        </w:rPr>
        <w:t xml:space="preserve">│   ├── texto.py                # números argentinos, normalización de texto</w:t>
      </w:r>
      <w:r>
        <w:br/>
      </w:r>
      <w:r>
        <w:rPr>
          <w:rStyle w:val="VerbatimChar"/>
        </w:rPr>
        <w:t xml:space="preserve">│   ├── evaluacion.py           # evaluación reglas vs LLM vs híbrido</w:t>
      </w:r>
      <w:r>
        <w:br/>
      </w:r>
      <w:r>
        <w:rPr>
          <w:rStyle w:val="VerbatimChar"/>
        </w:rPr>
        <w:t xml:space="preserve">│   ├── m1_descubrimiento.py</w:t>
      </w:r>
      <w:r>
        <w:br/>
      </w:r>
      <w:r>
        <w:rPr>
          <w:rStyle w:val="VerbatimChar"/>
        </w:rPr>
        <w:t xml:space="preserve">│   ├── m2_procesamiento.py</w:t>
      </w:r>
      <w:r>
        <w:br/>
      </w:r>
      <w:r>
        <w:rPr>
          <w:rStyle w:val="VerbatimChar"/>
        </w:rPr>
        <w:t xml:space="preserve">│   ├── m3_estandarizacion.py</w:t>
      </w:r>
      <w:r>
        <w:br/>
      </w:r>
      <w:r>
        <w:rPr>
          <w:rStyle w:val="VerbatimChar"/>
        </w:rPr>
        <w:t xml:space="preserve">│   ├── m4_preprocesamiento.py</w:t>
      </w:r>
      <w:r>
        <w:br/>
      </w:r>
      <w:r>
        <w:rPr>
          <w:rStyle w:val="VerbatimChar"/>
        </w:rPr>
        <w:t xml:space="preserve">│   ├── m5_almacenamiento.py</w:t>
      </w:r>
      <w:r>
        <w:br/>
      </w:r>
      <w:r>
        <w:rPr>
          <w:rStyle w:val="VerbatimChar"/>
        </w:rPr>
        <w:t xml:space="preserve">│   ├── m6_visualizacion/</w:t>
      </w:r>
      <w:r>
        <w:br/>
      </w:r>
      <w:r>
        <w:rPr>
          <w:rStyle w:val="VerbatimChar"/>
        </w:rPr>
        <w:t xml:space="preserve">│   │   └── api.py              # API FastAPI (sirve también la interfaz compilada)</w:t>
      </w:r>
      <w:r>
        <w:br/>
      </w:r>
      <w:r>
        <w:rPr>
          <w:rStyle w:val="VerbatimChar"/>
        </w:rPr>
        <w:t xml:space="preserve">│   ├── m7_consulta.py</w:t>
      </w:r>
      <w:r>
        <w:br/>
      </w:r>
      <w:r>
        <w:rPr>
          <w:rStyle w:val="VerbatimChar"/>
        </w:rPr>
        <w:t xml:space="preserve">│   └── m8_accion.py</w:t>
      </w:r>
      <w:r>
        <w:br/>
      </w:r>
      <w:r>
        <w:rPr>
          <w:rStyle w:val="VerbatimChar"/>
        </w:rPr>
        <w:t xml:space="preserve">├── web/                        # interfaz React + Vite + TypeScript (Tailwind)</w:t>
      </w:r>
      <w:r>
        <w:br/>
      </w:r>
      <w:r>
        <w:rPr>
          <w:rStyle w:val="VerbatimChar"/>
        </w:rPr>
        <w:t xml:space="preserve">│   └── src/pages/              # Documentos.tsx, Documento.tsx, Tablero.tsx,</w:t>
      </w:r>
      <w:r>
        <w:br/>
      </w:r>
      <w:r>
        <w:rPr>
          <w:rStyle w:val="VerbatimChar"/>
        </w:rPr>
        <w:t xml:space="preserve">│                               # Consulta.tsx, Acciones.tsx</w:t>
      </w:r>
      <w:r>
        <w:br/>
      </w:r>
      <w:r>
        <w:rPr>
          <w:rStyle w:val="VerbatimChar"/>
        </w:rPr>
        <w:t xml:space="preserve">├── eval/</w:t>
      </w:r>
      <w:r>
        <w:br/>
      </w:r>
      <w:r>
        <w:rPr>
          <w:rStyle w:val="VerbatimChar"/>
        </w:rPr>
        <w:t xml:space="preserve">│   ├── gold.yaml               # valores de referencia verificados a mano</w:t>
      </w:r>
      <w:r>
        <w:br/>
      </w:r>
      <w:r>
        <w:rPr>
          <w:rStyle w:val="VerbatimChar"/>
        </w:rPr>
        <w:t xml:space="preserve">│   ├── generar_sinteticos.py   # genera los 3 documentos sintéticos</w:t>
      </w:r>
      <w:r>
        <w:br/>
      </w:r>
      <w:r>
        <w:rPr>
          <w:rStyle w:val="VerbatimChar"/>
        </w:rPr>
        <w:t xml:space="preserve">│   ├── resultados.md           # tabla de resultados</w:t>
      </w:r>
      <w:r>
        <w:br/>
      </w:r>
      <w:r>
        <w:rPr>
          <w:rStyle w:val="VerbatimChar"/>
        </w:rPr>
        <w:t xml:space="preserve">│   └── resultados.json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└── test_extraccion.py      # 33 tests</w:t>
      </w:r>
      <w:r>
        <w:br/>
      </w:r>
      <w:r>
        <w:rPr>
          <w:rStyle w:val="VerbatimChar"/>
        </w:rPr>
        <w:t xml:space="preserve">└── data/</w:t>
      </w:r>
      <w:r>
        <w:br/>
      </w:r>
      <w:r>
        <w:rPr>
          <w:rStyle w:val="VerbatimChar"/>
        </w:rPr>
        <w:t xml:space="preserve">    ├── muestras/               # 3 PDFs reales + sinteticos/</w:t>
      </w:r>
      <w:r>
        <w:br/>
      </w:r>
      <w:r>
        <w:rPr>
          <w:rStyle w:val="VerbatimChar"/>
        </w:rPr>
        <w:t xml:space="preserve">    ├── inbox/                  # carpeta vigilada</w:t>
      </w:r>
      <w:r>
        <w:br/>
      </w:r>
      <w:r>
        <w:rPr>
          <w:rStyle w:val="VerbatimChar"/>
        </w:rPr>
        <w:t xml:space="preserve">    ├── documentos/             # copias inmutables (prefijo SHA-256)</w:t>
      </w:r>
      <w:r>
        <w:br/>
      </w:r>
      <w:r>
        <w:rPr>
          <w:rStyle w:val="VerbatimChar"/>
        </w:rPr>
        <w:t xml:space="preserve">    ├── bandeja_salida/         # notificaciones generadas</w:t>
      </w:r>
      <w:r>
        <w:br/>
      </w:r>
      <w:r>
        <w:rPr>
          <w:rStyle w:val="VerbatimChar"/>
        </w:rPr>
        <w:t xml:space="preserve">    ├── reportes/               # reportes por documento</w:t>
      </w:r>
      <w:r>
        <w:br/>
      </w:r>
      <w:r>
        <w:rPr>
          <w:rStyle w:val="VerbatimChar"/>
        </w:rPr>
        <w:t xml:space="preserve">    └── necc.db                 # base SQLite</w:t>
      </w:r>
    </w:p>
    <w:bookmarkEnd w:id="46"/>
    <w:sectPr>
      <w:footnotePr>
        <w:numRestart w:val="eachSect"/>
      </w:footnotePr>
      <w:pgSz w:h="16838" w:w="11906"/>
      <w:pgMar w:bottom="1134" w:footer="567" w:gutter="0" w:header="567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1"/>
        <w:szCs w:val="21"/>
        <w:lang w:bidi="ar-SA" w:eastAsia="zh-CN" w:val="es-AR"/>
      </w:rPr>
    </w:rPrDefault>
    <w:pPrDefault>
      <w:pPr>
        <w:spacing w:after="12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0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NECC · Litigiosidad ART</dc:title>
  <dc:creator/>
  <dc:language>es-AR</dc:language>
  <cp:keywords/>
  <dcterms:created xsi:type="dcterms:W3CDTF">2026-10-15T02:51:05Z</dcterms:created>
  <dcterms:modified xsi:type="dcterms:W3CDTF">2026-10-15T02:51:05Z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Extracción automática y trazable de indicadores de litigiosidad de las notas a los estados contables de las ART</vt:lpwstr>
  </property>
</Properties>
</file>