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CE0BA" w14:textId="68924D06" w:rsidR="005E15B1" w:rsidRPr="00AD29D0" w:rsidRDefault="009D2017" w:rsidP="009F03A7">
      <w:pPr>
        <w:pBdr>
          <w:bottom w:val="single" w:sz="12" w:space="1" w:color="auto"/>
        </w:pBdr>
        <w:jc w:val="center"/>
        <w:rPr>
          <w:rFonts w:cstheme="minorHAnsi"/>
          <w:b/>
          <w:bCs/>
          <w:sz w:val="32"/>
          <w:szCs w:val="32"/>
        </w:rPr>
      </w:pPr>
      <w:r>
        <w:rPr>
          <w:b/>
          <w:bCs/>
          <w:sz w:val="56"/>
          <w:szCs w:val="56"/>
        </w:rPr>
        <w:t xml:space="preserve">Taxes Using the </w:t>
      </w:r>
      <w:r w:rsidR="009F03A7" w:rsidRPr="00AD29D0">
        <w:rPr>
          <w:b/>
          <w:bCs/>
          <w:sz w:val="56"/>
          <w:szCs w:val="56"/>
        </w:rPr>
        <w:t>Turner Bands</w:t>
      </w:r>
    </w:p>
    <w:p w14:paraId="28876E05" w14:textId="21597ED6" w:rsidR="009F03A7" w:rsidRPr="006B3615" w:rsidRDefault="009D2017" w:rsidP="006B3615">
      <w:pPr>
        <w:pStyle w:val="Heading1"/>
        <w:rPr>
          <w:rFonts w:asciiTheme="minorHAnsi" w:hAnsiTheme="minorHAnsi" w:cstheme="minorHAnsi"/>
          <w:b/>
          <w:bCs/>
          <w:u w:val="single"/>
        </w:rPr>
      </w:pPr>
      <w:r>
        <w:rPr>
          <w:rFonts w:asciiTheme="minorHAnsi" w:hAnsiTheme="minorHAnsi" w:cstheme="minorHAnsi"/>
          <w:b/>
          <w:bCs/>
          <w:u w:val="single"/>
        </w:rPr>
        <w:t>Long Story Short</w:t>
      </w:r>
    </w:p>
    <w:p w14:paraId="2ED2E7A2" w14:textId="33B32A11" w:rsidR="0006404B" w:rsidRDefault="009D2017" w:rsidP="009F03A7">
      <w:pPr>
        <w:rPr>
          <w:sz w:val="24"/>
          <w:szCs w:val="24"/>
        </w:rPr>
      </w:pPr>
      <w:r>
        <w:rPr>
          <w:sz w:val="24"/>
          <w:szCs w:val="24"/>
        </w:rPr>
        <w:t>Statement from</w:t>
      </w:r>
      <w:r w:rsidR="00FC5EC5">
        <w:rPr>
          <w:sz w:val="24"/>
          <w:szCs w:val="24"/>
        </w:rPr>
        <w:t xml:space="preserve"> </w:t>
      </w:r>
      <w:hyperlink r:id="rId7" w:anchor=":~:text=Capital%20gains%20taxes%20apply%20only,individual's%20regular%20income%20tax%20rate." w:history="1">
        <w:r>
          <w:rPr>
            <w:rStyle w:val="Hyperlink"/>
            <w:sz w:val="24"/>
            <w:szCs w:val="24"/>
          </w:rPr>
          <w:t>Investopedia</w:t>
        </w:r>
      </w:hyperlink>
      <w:r>
        <w:rPr>
          <w:sz w:val="24"/>
          <w:szCs w:val="24"/>
        </w:rPr>
        <w:t>:</w:t>
      </w:r>
      <w:r w:rsidR="00FC5EC5">
        <w:rPr>
          <w:sz w:val="24"/>
          <w:szCs w:val="24"/>
        </w:rPr>
        <w:t xml:space="preserve"> </w:t>
      </w:r>
    </w:p>
    <w:p w14:paraId="7B618C4A" w14:textId="77777777" w:rsidR="007F21A3" w:rsidRDefault="007F21A3" w:rsidP="009F03A7">
      <w:pPr>
        <w:rPr>
          <w:sz w:val="24"/>
          <w:szCs w:val="24"/>
        </w:rPr>
      </w:pPr>
    </w:p>
    <w:p w14:paraId="3CFC6A84" w14:textId="23D63E5C" w:rsidR="000C1E46" w:rsidRDefault="000C1E46" w:rsidP="0006404B">
      <w:pPr>
        <w:ind w:left="720" w:right="1440"/>
        <w:rPr>
          <w:i/>
          <w:iCs/>
          <w:sz w:val="24"/>
          <w:szCs w:val="24"/>
        </w:rPr>
      </w:pPr>
      <w:r w:rsidRPr="000C1E46">
        <w:rPr>
          <w:i/>
          <w:iCs/>
          <w:sz w:val="24"/>
          <w:szCs w:val="24"/>
        </w:rPr>
        <w:t>“</w:t>
      </w:r>
      <w:r w:rsidR="009D2017">
        <w:rPr>
          <w:i/>
          <w:iCs/>
          <w:sz w:val="24"/>
          <w:szCs w:val="24"/>
        </w:rPr>
        <w:t>…Short-term gains are taxed at the individual’s regular income tax rate</w:t>
      </w:r>
      <w:r w:rsidRPr="000C1E46">
        <w:rPr>
          <w:i/>
          <w:iCs/>
          <w:sz w:val="24"/>
          <w:szCs w:val="24"/>
        </w:rPr>
        <w:t>.”</w:t>
      </w:r>
    </w:p>
    <w:p w14:paraId="4C3E4EB2" w14:textId="4C86533F" w:rsidR="0006404B" w:rsidRDefault="0006404B" w:rsidP="00EE3CAF">
      <w:pPr>
        <w:ind w:right="1440"/>
        <w:rPr>
          <w:sz w:val="24"/>
          <w:szCs w:val="24"/>
        </w:rPr>
      </w:pPr>
    </w:p>
    <w:p w14:paraId="583470FA" w14:textId="65ADC107" w:rsidR="00EE3CAF" w:rsidRDefault="00EE3CAF" w:rsidP="00EE3CAF">
      <w:pPr>
        <w:ind w:right="1440"/>
        <w:rPr>
          <w:sz w:val="24"/>
          <w:szCs w:val="24"/>
        </w:rPr>
      </w:pPr>
      <w:r w:rsidRPr="00EE3CAF">
        <w:rPr>
          <w:sz w:val="24"/>
          <w:szCs w:val="24"/>
        </w:rPr>
        <w:t>Short-term capital gains tax applies to assets that are sold one year or less from the date they were purchased. This profit is taxed as ordinary income. For all but the wealthiest taxpayers, that is a higher tax rate than the capital gains rate.</w:t>
      </w:r>
    </w:p>
    <w:p w14:paraId="55D31BCF" w14:textId="77777777" w:rsidR="00BA34C1" w:rsidRDefault="00BA34C1" w:rsidP="00EE3CAF">
      <w:pPr>
        <w:ind w:right="1440"/>
        <w:rPr>
          <w:sz w:val="24"/>
          <w:szCs w:val="24"/>
        </w:rPr>
      </w:pPr>
    </w:p>
    <w:p w14:paraId="1F4EC094" w14:textId="2FE15408" w:rsidR="000C1E46" w:rsidRDefault="00EE3CAF" w:rsidP="009F03A7">
      <w:pPr>
        <w:rPr>
          <w:sz w:val="24"/>
          <w:szCs w:val="24"/>
        </w:rPr>
      </w:pPr>
      <w:r>
        <w:rPr>
          <w:sz w:val="24"/>
          <w:szCs w:val="24"/>
        </w:rPr>
        <w:t>By this definition, t</w:t>
      </w:r>
      <w:r w:rsidR="00024488">
        <w:rPr>
          <w:sz w:val="24"/>
          <w:szCs w:val="24"/>
        </w:rPr>
        <w:t>he Turner Bands</w:t>
      </w:r>
      <w:r w:rsidR="009D2017">
        <w:rPr>
          <w:sz w:val="24"/>
          <w:szCs w:val="24"/>
        </w:rPr>
        <w:t xml:space="preserve"> strategy is designed to make short-term investments</w:t>
      </w:r>
      <w:r w:rsidR="00BA34C1">
        <w:rPr>
          <w:sz w:val="24"/>
          <w:szCs w:val="24"/>
        </w:rPr>
        <w:t xml:space="preserve"> which are taxed as income and at your income brackets both federal and state.</w:t>
      </w:r>
    </w:p>
    <w:p w14:paraId="68308162" w14:textId="27E073A1" w:rsidR="00BA34C1" w:rsidRDefault="00BA34C1" w:rsidP="009F03A7">
      <w:pPr>
        <w:rPr>
          <w:sz w:val="24"/>
          <w:szCs w:val="24"/>
        </w:rPr>
      </w:pPr>
    </w:p>
    <w:p w14:paraId="68C0B7F6" w14:textId="15F6AC8D" w:rsidR="00BA34C1" w:rsidRDefault="00BA34C1" w:rsidP="00BA34C1">
      <w:pPr>
        <w:pStyle w:val="Heading1"/>
        <w:rPr>
          <w:sz w:val="24"/>
          <w:szCs w:val="24"/>
        </w:rPr>
      </w:pPr>
      <w:r>
        <w:rPr>
          <w:rFonts w:asciiTheme="minorHAnsi" w:hAnsiTheme="minorHAnsi" w:cstheme="minorHAnsi"/>
          <w:b/>
          <w:bCs/>
          <w:u w:val="single"/>
        </w:rPr>
        <w:lastRenderedPageBreak/>
        <w:t>Federal Tax Brackets</w:t>
      </w:r>
    </w:p>
    <w:p w14:paraId="5FCA672C" w14:textId="3E2CD3F7" w:rsidR="00BA34C1" w:rsidRDefault="00BA34C1" w:rsidP="009F03A7">
      <w:pPr>
        <w:rPr>
          <w:sz w:val="24"/>
          <w:szCs w:val="24"/>
        </w:rPr>
      </w:pPr>
      <w:r>
        <w:rPr>
          <w:noProof/>
        </w:rPr>
        <w:drawing>
          <wp:inline distT="0" distB="0" distL="0" distR="0" wp14:anchorId="0364441A" wp14:editId="4666C3DC">
            <wp:extent cx="5943600" cy="4192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92905"/>
                    </a:xfrm>
                    <a:prstGeom prst="rect">
                      <a:avLst/>
                    </a:prstGeom>
                  </pic:spPr>
                </pic:pic>
              </a:graphicData>
            </a:graphic>
          </wp:inline>
        </w:drawing>
      </w:r>
    </w:p>
    <w:p w14:paraId="58CC8BFD" w14:textId="0ED79452" w:rsidR="001200BB" w:rsidRDefault="001200BB" w:rsidP="009F03A7">
      <w:pPr>
        <w:rPr>
          <w:sz w:val="24"/>
          <w:szCs w:val="24"/>
        </w:rPr>
      </w:pPr>
    </w:p>
    <w:p w14:paraId="7F61C528" w14:textId="64D598A6" w:rsidR="006A7EB0" w:rsidRDefault="006A7EB0" w:rsidP="009F03A7">
      <w:pPr>
        <w:rPr>
          <w:sz w:val="24"/>
          <w:szCs w:val="24"/>
        </w:rPr>
      </w:pPr>
    </w:p>
    <w:p w14:paraId="714E01BA" w14:textId="77777777" w:rsidR="006A7EB0" w:rsidRDefault="006A7EB0" w:rsidP="009F03A7">
      <w:pPr>
        <w:rPr>
          <w:sz w:val="24"/>
          <w:szCs w:val="24"/>
        </w:rPr>
      </w:pPr>
    </w:p>
    <w:p w14:paraId="76292CE4" w14:textId="24AC2FCD" w:rsidR="001200BB" w:rsidRDefault="001200BB" w:rsidP="009F03A7">
      <w:pPr>
        <w:rPr>
          <w:sz w:val="24"/>
          <w:szCs w:val="24"/>
        </w:rPr>
      </w:pPr>
    </w:p>
    <w:p w14:paraId="5C0219DC" w14:textId="0728982D" w:rsidR="001200BB" w:rsidRDefault="001200BB" w:rsidP="001200BB">
      <w:pPr>
        <w:pStyle w:val="Heading1"/>
        <w:rPr>
          <w:sz w:val="24"/>
          <w:szCs w:val="24"/>
        </w:rPr>
      </w:pPr>
      <w:r>
        <w:rPr>
          <w:rFonts w:asciiTheme="minorHAnsi" w:hAnsiTheme="minorHAnsi" w:cstheme="minorHAnsi"/>
          <w:b/>
          <w:bCs/>
          <w:u w:val="single"/>
        </w:rPr>
        <w:lastRenderedPageBreak/>
        <w:t>State Tax Brackets for Iowa</w:t>
      </w:r>
    </w:p>
    <w:p w14:paraId="1980E6A2" w14:textId="011C9226" w:rsidR="001200BB" w:rsidRDefault="001200BB" w:rsidP="009F03A7">
      <w:pPr>
        <w:rPr>
          <w:sz w:val="24"/>
          <w:szCs w:val="24"/>
        </w:rPr>
      </w:pPr>
    </w:p>
    <w:p w14:paraId="401F5F3F" w14:textId="54618695" w:rsidR="001200BB" w:rsidRDefault="001200BB" w:rsidP="009F03A7">
      <w:pPr>
        <w:rPr>
          <w:sz w:val="24"/>
          <w:szCs w:val="24"/>
        </w:rPr>
      </w:pPr>
      <w:r>
        <w:rPr>
          <w:noProof/>
        </w:rPr>
        <w:drawing>
          <wp:inline distT="0" distB="0" distL="0" distR="0" wp14:anchorId="6813E001" wp14:editId="205CCB31">
            <wp:extent cx="5943600" cy="3416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16935"/>
                    </a:xfrm>
                    <a:prstGeom prst="rect">
                      <a:avLst/>
                    </a:prstGeom>
                  </pic:spPr>
                </pic:pic>
              </a:graphicData>
            </a:graphic>
          </wp:inline>
        </w:drawing>
      </w:r>
    </w:p>
    <w:p w14:paraId="3C74D214" w14:textId="06E25B7E" w:rsidR="001200BB" w:rsidRDefault="001200BB" w:rsidP="009F03A7">
      <w:pPr>
        <w:rPr>
          <w:sz w:val="24"/>
          <w:szCs w:val="24"/>
        </w:rPr>
      </w:pPr>
    </w:p>
    <w:p w14:paraId="34DC9BB5" w14:textId="0E4E4BAB" w:rsidR="007E414C" w:rsidRDefault="007E414C" w:rsidP="009F03A7">
      <w:pPr>
        <w:rPr>
          <w:sz w:val="24"/>
          <w:szCs w:val="24"/>
        </w:rPr>
      </w:pPr>
    </w:p>
    <w:p w14:paraId="6CB99B96" w14:textId="2792B9BD" w:rsidR="007E414C" w:rsidRDefault="007E414C" w:rsidP="009F03A7">
      <w:pPr>
        <w:rPr>
          <w:sz w:val="24"/>
          <w:szCs w:val="24"/>
        </w:rPr>
      </w:pPr>
    </w:p>
    <w:p w14:paraId="42EC3F08" w14:textId="7C3AF8A9" w:rsidR="007E414C" w:rsidRDefault="007E414C" w:rsidP="009F03A7">
      <w:pPr>
        <w:rPr>
          <w:sz w:val="24"/>
          <w:szCs w:val="24"/>
        </w:rPr>
      </w:pPr>
    </w:p>
    <w:p w14:paraId="7D6254AA" w14:textId="405705E7" w:rsidR="007E414C" w:rsidRDefault="007E414C" w:rsidP="009F03A7">
      <w:pPr>
        <w:rPr>
          <w:sz w:val="24"/>
          <w:szCs w:val="24"/>
        </w:rPr>
      </w:pPr>
    </w:p>
    <w:p w14:paraId="658A4A67" w14:textId="0555494F" w:rsidR="007E414C" w:rsidRDefault="007E414C" w:rsidP="009F03A7">
      <w:pPr>
        <w:rPr>
          <w:sz w:val="24"/>
          <w:szCs w:val="24"/>
        </w:rPr>
      </w:pPr>
    </w:p>
    <w:p w14:paraId="771AEF13" w14:textId="4D069031" w:rsidR="001200BB" w:rsidRDefault="001200BB" w:rsidP="001200BB">
      <w:pPr>
        <w:pStyle w:val="Heading1"/>
        <w:rPr>
          <w:rFonts w:asciiTheme="minorHAnsi" w:hAnsiTheme="minorHAnsi" w:cstheme="minorHAnsi"/>
          <w:b/>
          <w:bCs/>
          <w:u w:val="single"/>
        </w:rPr>
      </w:pPr>
      <w:r>
        <w:rPr>
          <w:rFonts w:asciiTheme="minorHAnsi" w:hAnsiTheme="minorHAnsi" w:cstheme="minorHAnsi"/>
          <w:b/>
          <w:bCs/>
          <w:u w:val="single"/>
        </w:rPr>
        <w:lastRenderedPageBreak/>
        <w:t>State Tax Brackets for Alabama</w:t>
      </w:r>
    </w:p>
    <w:p w14:paraId="0FD695B9" w14:textId="363A9F97" w:rsidR="001200BB" w:rsidRDefault="001200BB" w:rsidP="001200BB"/>
    <w:p w14:paraId="02094557" w14:textId="60764D88" w:rsidR="001200BB" w:rsidRDefault="007E414C" w:rsidP="001200BB">
      <w:r>
        <w:rPr>
          <w:noProof/>
        </w:rPr>
        <w:drawing>
          <wp:inline distT="0" distB="0" distL="0" distR="0" wp14:anchorId="1A574492" wp14:editId="052C5324">
            <wp:extent cx="6133465" cy="4686205"/>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45467" cy="4695375"/>
                    </a:xfrm>
                    <a:prstGeom prst="rect">
                      <a:avLst/>
                    </a:prstGeom>
                  </pic:spPr>
                </pic:pic>
              </a:graphicData>
            </a:graphic>
          </wp:inline>
        </w:drawing>
      </w:r>
    </w:p>
    <w:p w14:paraId="35894362" w14:textId="6DEACC6F" w:rsidR="007E414C" w:rsidRDefault="007E414C" w:rsidP="001200BB"/>
    <w:p w14:paraId="7D0E56E1" w14:textId="56E521D0" w:rsidR="001200BB" w:rsidRDefault="001200BB" w:rsidP="001200BB">
      <w:pPr>
        <w:pStyle w:val="Heading1"/>
        <w:rPr>
          <w:rFonts w:asciiTheme="minorHAnsi" w:hAnsiTheme="minorHAnsi" w:cstheme="minorHAnsi"/>
          <w:b/>
          <w:bCs/>
          <w:u w:val="single"/>
        </w:rPr>
      </w:pPr>
      <w:r>
        <w:rPr>
          <w:rFonts w:asciiTheme="minorHAnsi" w:hAnsiTheme="minorHAnsi" w:cstheme="minorHAnsi"/>
          <w:b/>
          <w:bCs/>
          <w:u w:val="single"/>
        </w:rPr>
        <w:lastRenderedPageBreak/>
        <w:t>Sources</w:t>
      </w:r>
    </w:p>
    <w:p w14:paraId="4CEB39F3" w14:textId="2F4F1090" w:rsidR="001200BB" w:rsidRDefault="001200BB" w:rsidP="009F03A7">
      <w:pPr>
        <w:rPr>
          <w:sz w:val="24"/>
          <w:szCs w:val="24"/>
        </w:rPr>
      </w:pPr>
    </w:p>
    <w:p w14:paraId="073B42A7" w14:textId="74B2D0C5" w:rsidR="001200BB" w:rsidRDefault="001200BB" w:rsidP="009F03A7">
      <w:pPr>
        <w:rPr>
          <w:sz w:val="24"/>
          <w:szCs w:val="24"/>
        </w:rPr>
      </w:pPr>
      <w:r>
        <w:rPr>
          <w:sz w:val="24"/>
          <w:szCs w:val="24"/>
        </w:rPr>
        <w:t xml:space="preserve">Federal tax brackets - </w:t>
      </w:r>
      <w:hyperlink r:id="rId11" w:history="1">
        <w:r w:rsidRPr="000158AE">
          <w:rPr>
            <w:rStyle w:val="Hyperlink"/>
            <w:sz w:val="24"/>
            <w:szCs w:val="24"/>
          </w:rPr>
          <w:t>https://www.kiplinger.com/taxes/tax-brackets/603738/irs-releases-income-tax-brackets-for-2022</w:t>
        </w:r>
      </w:hyperlink>
    </w:p>
    <w:p w14:paraId="21C209E1" w14:textId="31200F6C" w:rsidR="001200BB" w:rsidRDefault="001200BB" w:rsidP="009F03A7">
      <w:pPr>
        <w:rPr>
          <w:sz w:val="24"/>
          <w:szCs w:val="24"/>
        </w:rPr>
      </w:pPr>
      <w:r>
        <w:rPr>
          <w:sz w:val="24"/>
          <w:szCs w:val="24"/>
        </w:rPr>
        <w:t xml:space="preserve">Iowa tax brackets - </w:t>
      </w:r>
      <w:hyperlink r:id="rId12" w:history="1">
        <w:r w:rsidRPr="000158AE">
          <w:rPr>
            <w:rStyle w:val="Hyperlink"/>
            <w:sz w:val="24"/>
            <w:szCs w:val="24"/>
          </w:rPr>
          <w:t>https://arnoldmotewealthmanagement.com/iowans-new-tax-law-brackets/</w:t>
        </w:r>
      </w:hyperlink>
    </w:p>
    <w:p w14:paraId="541FFEF9" w14:textId="259A474C" w:rsidR="007E414C" w:rsidRDefault="007E414C" w:rsidP="009F03A7">
      <w:pPr>
        <w:rPr>
          <w:sz w:val="24"/>
          <w:szCs w:val="24"/>
        </w:rPr>
      </w:pPr>
      <w:r>
        <w:rPr>
          <w:sz w:val="24"/>
          <w:szCs w:val="24"/>
        </w:rPr>
        <w:t xml:space="preserve">Alabama tax brackets - </w:t>
      </w:r>
      <w:hyperlink r:id="rId13" w:history="1">
        <w:r w:rsidRPr="000158AE">
          <w:rPr>
            <w:rStyle w:val="Hyperlink"/>
            <w:sz w:val="24"/>
            <w:szCs w:val="24"/>
          </w:rPr>
          <w:t>https://revenue.alabama.gov/wp-content/uploads/2017/08/16f40taxtable.pdf</w:t>
        </w:r>
      </w:hyperlink>
    </w:p>
    <w:p w14:paraId="5870D4AE" w14:textId="140D0FB3" w:rsidR="001200BB" w:rsidRDefault="001200BB" w:rsidP="009F03A7">
      <w:pPr>
        <w:rPr>
          <w:sz w:val="24"/>
          <w:szCs w:val="24"/>
        </w:rPr>
      </w:pPr>
      <w:r>
        <w:rPr>
          <w:sz w:val="24"/>
          <w:szCs w:val="24"/>
        </w:rPr>
        <w:t xml:space="preserve">Long Story Short section - </w:t>
      </w:r>
      <w:hyperlink r:id="rId14" w:anchor=":~:text=Capital%20gains%20taxes%20apply%20only,individual's%20regular%20income%20tax%20rate" w:history="1">
        <w:r w:rsidRPr="000158AE">
          <w:rPr>
            <w:rStyle w:val="Hyperlink"/>
            <w:sz w:val="24"/>
            <w:szCs w:val="24"/>
          </w:rPr>
          <w:t>https://www.investopedia.com/terms/c/capital_gains_tax.asp#:~:text=Capital%20gains%20taxes%20apply%20only,individual's%20regular%20income%20tax%20rate</w:t>
        </w:r>
      </w:hyperlink>
      <w:r w:rsidRPr="001200BB">
        <w:rPr>
          <w:sz w:val="24"/>
          <w:szCs w:val="24"/>
        </w:rPr>
        <w:t>.</w:t>
      </w:r>
    </w:p>
    <w:p w14:paraId="06700AE2" w14:textId="77777777" w:rsidR="001200BB" w:rsidRDefault="001200BB" w:rsidP="009F03A7">
      <w:pPr>
        <w:rPr>
          <w:sz w:val="24"/>
          <w:szCs w:val="24"/>
        </w:rPr>
      </w:pPr>
    </w:p>
    <w:sectPr w:rsidR="001200BB" w:rsidSect="001719CA">
      <w:footerReference w:type="default" r:id="rId15"/>
      <w:pgSz w:w="12240" w:h="15840"/>
      <w:pgMar w:top="810" w:right="1440" w:bottom="6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63E00E" w14:textId="77777777" w:rsidR="00CA53E0" w:rsidRDefault="00CA53E0" w:rsidP="0034095E">
      <w:pPr>
        <w:spacing w:after="0" w:line="240" w:lineRule="auto"/>
      </w:pPr>
      <w:r>
        <w:separator/>
      </w:r>
    </w:p>
  </w:endnote>
  <w:endnote w:type="continuationSeparator" w:id="0">
    <w:p w14:paraId="6A3AE9E9" w14:textId="77777777" w:rsidR="00CA53E0" w:rsidRDefault="00CA53E0" w:rsidP="003409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214FD" w14:textId="77777777" w:rsidR="00201580" w:rsidRDefault="00201580" w:rsidP="00350E24">
    <w:pPr>
      <w:pStyle w:val="xdefault"/>
      <w:shd w:val="clear" w:color="auto" w:fill="FFFFFF"/>
      <w:spacing w:before="0" w:beforeAutospacing="0" w:after="0" w:afterAutospacing="0"/>
      <w:textAlignment w:val="baseline"/>
      <w:rPr>
        <w:rFonts w:ascii="Open Sans" w:hAnsi="Open Sans" w:cs="Open Sans"/>
        <w:color w:val="666666"/>
        <w:sz w:val="21"/>
        <w:szCs w:val="21"/>
      </w:rPr>
    </w:pPr>
    <w:r w:rsidRPr="00201580">
      <w:rPr>
        <w:rFonts w:ascii="Open Sans" w:hAnsi="Open Sans" w:cs="Open Sans"/>
        <w:b/>
        <w:bCs/>
        <w:color w:val="666666"/>
        <w:sz w:val="21"/>
        <w:szCs w:val="21"/>
      </w:rPr>
      <w:t>DISCLAIMER</w:t>
    </w:r>
    <w:r>
      <w:rPr>
        <w:rFonts w:ascii="Open Sans" w:hAnsi="Open Sans" w:cs="Open Sans"/>
        <w:color w:val="666666"/>
        <w:sz w:val="21"/>
        <w:szCs w:val="21"/>
      </w:rPr>
      <w:t xml:space="preserve">: </w:t>
    </w:r>
  </w:p>
  <w:p w14:paraId="28C144BE" w14:textId="08B70A48" w:rsidR="00350E24" w:rsidRDefault="00350E24" w:rsidP="00350E24">
    <w:pPr>
      <w:pStyle w:val="xdefault"/>
      <w:shd w:val="clear" w:color="auto" w:fill="FFFFFF"/>
      <w:spacing w:before="0" w:beforeAutospacing="0" w:after="0" w:afterAutospacing="0"/>
      <w:textAlignment w:val="baseline"/>
      <w:rPr>
        <w:rFonts w:ascii="Open Sans" w:hAnsi="Open Sans" w:cs="Open Sans"/>
        <w:color w:val="666666"/>
        <w:sz w:val="21"/>
        <w:szCs w:val="21"/>
      </w:rPr>
    </w:pPr>
    <w:r>
      <w:rPr>
        <w:rFonts w:ascii="Open Sans" w:hAnsi="Open Sans" w:cs="Open Sans"/>
        <w:color w:val="666666"/>
        <w:sz w:val="21"/>
        <w:szCs w:val="21"/>
      </w:rPr>
      <w:t xml:space="preserve">The </w:t>
    </w:r>
    <w:r w:rsidR="0079330E">
      <w:rPr>
        <w:rFonts w:ascii="Open Sans" w:hAnsi="Open Sans" w:cs="Open Sans"/>
        <w:color w:val="666666"/>
        <w:sz w:val="21"/>
        <w:szCs w:val="21"/>
      </w:rPr>
      <w:t>content in this document</w:t>
    </w:r>
    <w:r>
      <w:rPr>
        <w:rFonts w:ascii="Open Sans" w:hAnsi="Open Sans" w:cs="Open Sans"/>
        <w:color w:val="666666"/>
        <w:sz w:val="21"/>
        <w:szCs w:val="21"/>
      </w:rPr>
      <w:t xml:space="preserve"> is for informational purposes only</w:t>
    </w:r>
    <w:r w:rsidR="0079330E">
      <w:rPr>
        <w:rFonts w:ascii="Open Sans" w:hAnsi="Open Sans" w:cs="Open Sans"/>
        <w:color w:val="666666"/>
        <w:sz w:val="21"/>
        <w:szCs w:val="21"/>
      </w:rPr>
      <w:t xml:space="preserve"> and </w:t>
    </w:r>
    <w:r>
      <w:rPr>
        <w:rFonts w:ascii="Open Sans" w:hAnsi="Open Sans" w:cs="Open Sans"/>
        <w:color w:val="666666"/>
        <w:sz w:val="21"/>
        <w:szCs w:val="21"/>
      </w:rPr>
      <w:t xml:space="preserve">should not </w:t>
    </w:r>
    <w:r w:rsidR="0079330E">
      <w:rPr>
        <w:rFonts w:ascii="Open Sans" w:hAnsi="Open Sans" w:cs="Open Sans"/>
        <w:color w:val="666666"/>
        <w:sz w:val="21"/>
        <w:szCs w:val="21"/>
      </w:rPr>
      <w:t xml:space="preserve">be </w:t>
    </w:r>
    <w:r>
      <w:rPr>
        <w:rFonts w:ascii="Open Sans" w:hAnsi="Open Sans" w:cs="Open Sans"/>
        <w:color w:val="666666"/>
        <w:sz w:val="21"/>
        <w:szCs w:val="21"/>
      </w:rPr>
      <w:t>construe</w:t>
    </w:r>
    <w:r w:rsidR="0079330E">
      <w:rPr>
        <w:rFonts w:ascii="Open Sans" w:hAnsi="Open Sans" w:cs="Open Sans"/>
        <w:color w:val="666666"/>
        <w:sz w:val="21"/>
        <w:szCs w:val="21"/>
      </w:rPr>
      <w:t>d as</w:t>
    </w:r>
    <w:r>
      <w:rPr>
        <w:rFonts w:ascii="Open Sans" w:hAnsi="Open Sans" w:cs="Open Sans"/>
        <w:color w:val="666666"/>
        <w:sz w:val="21"/>
        <w:szCs w:val="21"/>
      </w:rPr>
      <w:t xml:space="preserve"> any such information or other material as legal, tax, investment, financial, or other advice. Nothing contained on </w:t>
    </w:r>
    <w:r w:rsidR="0079330E">
      <w:rPr>
        <w:rFonts w:ascii="Open Sans" w:hAnsi="Open Sans" w:cs="Open Sans"/>
        <w:color w:val="666666"/>
        <w:sz w:val="21"/>
        <w:szCs w:val="21"/>
      </w:rPr>
      <w:t>this document</w:t>
    </w:r>
    <w:r>
      <w:rPr>
        <w:rFonts w:ascii="Open Sans" w:hAnsi="Open Sans" w:cs="Open Sans"/>
        <w:color w:val="666666"/>
        <w:sz w:val="21"/>
        <w:szCs w:val="21"/>
      </w:rPr>
      <w:t xml:space="preserve"> constitutes a solicitation, recommendation, endorsement, or offer</w:t>
    </w:r>
    <w:r w:rsidR="0079330E">
      <w:rPr>
        <w:rFonts w:ascii="Open Sans" w:hAnsi="Open Sans" w:cs="Open Sans"/>
        <w:color w:val="666666"/>
        <w:sz w:val="21"/>
        <w:szCs w:val="21"/>
      </w:rPr>
      <w:t xml:space="preserve">, </w:t>
    </w:r>
    <w:r>
      <w:rPr>
        <w:rFonts w:ascii="Open Sans" w:hAnsi="Open Sans" w:cs="Open Sans"/>
        <w:color w:val="666666"/>
        <w:sz w:val="21"/>
        <w:szCs w:val="21"/>
      </w:rPr>
      <w:t xml:space="preserve">or any </w:t>
    </w:r>
    <w:r>
      <w:rPr>
        <w:rFonts w:ascii="Open Sans" w:hAnsi="Open Sans" w:cs="Open Sans"/>
        <w:color w:val="666666"/>
        <w:sz w:val="21"/>
        <w:szCs w:val="21"/>
      </w:rPr>
      <w:t>third-party</w:t>
    </w:r>
    <w:r>
      <w:rPr>
        <w:rFonts w:ascii="Open Sans" w:hAnsi="Open Sans" w:cs="Open Sans"/>
        <w:color w:val="666666"/>
        <w:sz w:val="21"/>
        <w:szCs w:val="21"/>
      </w:rPr>
      <w:t xml:space="preserve"> service provider to buy or sell any securities or other financial instruments in this or in in any other jurisdiction in which such solicitation or offer would be unlawful under the securities laws of such jurisdiction.</w:t>
    </w:r>
  </w:p>
  <w:p w14:paraId="197707FD" w14:textId="270CEDE2" w:rsidR="00350E24" w:rsidRDefault="00350E24" w:rsidP="00350E24">
    <w:pPr>
      <w:pStyle w:val="NormalWeb"/>
      <w:shd w:val="clear" w:color="auto" w:fill="FFFFFF"/>
      <w:spacing w:before="0" w:beforeAutospacing="0" w:after="0" w:afterAutospacing="0"/>
      <w:textAlignment w:val="baseline"/>
      <w:rPr>
        <w:rFonts w:ascii="Open Sans" w:hAnsi="Open Sans" w:cs="Open Sans"/>
        <w:color w:val="666666"/>
        <w:sz w:val="21"/>
        <w:szCs w:val="21"/>
      </w:rPr>
    </w:pPr>
    <w:r>
      <w:rPr>
        <w:rFonts w:ascii="Open Sans" w:hAnsi="Open Sans" w:cs="Open Sans"/>
        <w:color w:val="666666"/>
        <w:sz w:val="21"/>
        <w:szCs w:val="21"/>
      </w:rPr>
      <w:t xml:space="preserve">All </w:t>
    </w:r>
    <w:r w:rsidR="006A7EB0">
      <w:rPr>
        <w:rFonts w:ascii="Open Sans" w:hAnsi="Open Sans" w:cs="Open Sans"/>
        <w:color w:val="666666"/>
        <w:sz w:val="21"/>
        <w:szCs w:val="21"/>
      </w:rPr>
      <w:t>content</w:t>
    </w:r>
    <w:r>
      <w:rPr>
        <w:rFonts w:ascii="Open Sans" w:hAnsi="Open Sans" w:cs="Open Sans"/>
        <w:color w:val="666666"/>
        <w:sz w:val="21"/>
        <w:szCs w:val="21"/>
      </w:rPr>
      <w:t xml:space="preserve"> on this </w:t>
    </w:r>
    <w:r w:rsidR="0079330E">
      <w:rPr>
        <w:rFonts w:ascii="Open Sans" w:hAnsi="Open Sans" w:cs="Open Sans"/>
        <w:color w:val="666666"/>
        <w:sz w:val="21"/>
        <w:szCs w:val="21"/>
      </w:rPr>
      <w:t>document</w:t>
    </w:r>
    <w:r>
      <w:rPr>
        <w:rFonts w:ascii="Open Sans" w:hAnsi="Open Sans" w:cs="Open Sans"/>
        <w:color w:val="666666"/>
        <w:sz w:val="21"/>
        <w:szCs w:val="21"/>
      </w:rPr>
      <w:t xml:space="preserve"> is information of a general nature and does not address the circumstances of any particular individual or entity. Nothing in th</w:t>
    </w:r>
    <w:r w:rsidR="0079330E">
      <w:rPr>
        <w:rFonts w:ascii="Open Sans" w:hAnsi="Open Sans" w:cs="Open Sans"/>
        <w:color w:val="666666"/>
        <w:sz w:val="21"/>
        <w:szCs w:val="21"/>
      </w:rPr>
      <w:t xml:space="preserve">is document </w:t>
    </w:r>
    <w:r>
      <w:rPr>
        <w:rFonts w:ascii="Open Sans" w:hAnsi="Open Sans" w:cs="Open Sans"/>
        <w:color w:val="666666"/>
        <w:sz w:val="21"/>
        <w:szCs w:val="21"/>
      </w:rPr>
      <w:t>constitutes professional and/or financial advice, nor does any information on th</w:t>
    </w:r>
    <w:r w:rsidR="0079330E">
      <w:rPr>
        <w:rFonts w:ascii="Open Sans" w:hAnsi="Open Sans" w:cs="Open Sans"/>
        <w:color w:val="666666"/>
        <w:sz w:val="21"/>
        <w:szCs w:val="21"/>
      </w:rPr>
      <w:t xml:space="preserve">is document </w:t>
    </w:r>
    <w:r>
      <w:rPr>
        <w:rFonts w:ascii="Open Sans" w:hAnsi="Open Sans" w:cs="Open Sans"/>
        <w:color w:val="666666"/>
        <w:sz w:val="21"/>
        <w:szCs w:val="21"/>
      </w:rPr>
      <w:t xml:space="preserve">constitute a comprehensive or complete statement of the matters discussed or the law relating thereto. You alone assume the sole responsibility of evaluating the merits and risks associated with the use of any information or </w:t>
    </w:r>
    <w:r w:rsidR="0079330E">
      <w:rPr>
        <w:rFonts w:ascii="Open Sans" w:hAnsi="Open Sans" w:cs="Open Sans"/>
        <w:color w:val="666666"/>
        <w:sz w:val="21"/>
        <w:szCs w:val="21"/>
      </w:rPr>
      <w:t>content</w:t>
    </w:r>
    <w:r>
      <w:rPr>
        <w:rFonts w:ascii="Open Sans" w:hAnsi="Open Sans" w:cs="Open Sans"/>
        <w:color w:val="666666"/>
        <w:sz w:val="21"/>
        <w:szCs w:val="21"/>
      </w:rPr>
      <w:t xml:space="preserve"> on th</w:t>
    </w:r>
    <w:r w:rsidR="00A65559">
      <w:rPr>
        <w:rFonts w:ascii="Open Sans" w:hAnsi="Open Sans" w:cs="Open Sans"/>
        <w:color w:val="666666"/>
        <w:sz w:val="21"/>
        <w:szCs w:val="21"/>
      </w:rPr>
      <w:t xml:space="preserve">is document </w:t>
    </w:r>
    <w:r>
      <w:rPr>
        <w:rFonts w:ascii="Open Sans" w:hAnsi="Open Sans" w:cs="Open Sans"/>
        <w:color w:val="666666"/>
        <w:sz w:val="21"/>
        <w:szCs w:val="21"/>
      </w:rPr>
      <w:t xml:space="preserve">before making any decisions based on such information or other </w:t>
    </w:r>
    <w:r w:rsidR="006A7EB0">
      <w:rPr>
        <w:rFonts w:ascii="Open Sans" w:hAnsi="Open Sans" w:cs="Open Sans"/>
        <w:color w:val="666666"/>
        <w:sz w:val="21"/>
        <w:szCs w:val="21"/>
      </w:rPr>
      <w:t>content</w:t>
    </w:r>
    <w:r>
      <w:rPr>
        <w:rFonts w:ascii="Open Sans" w:hAnsi="Open Sans" w:cs="Open Sans"/>
        <w:color w:val="666666"/>
        <w:sz w:val="21"/>
        <w:szCs w:val="21"/>
      </w:rPr>
      <w:t xml:space="preserve">. In exchange for using the </w:t>
    </w:r>
    <w:r w:rsidR="006A7EB0">
      <w:rPr>
        <w:rFonts w:ascii="Open Sans" w:hAnsi="Open Sans" w:cs="Open Sans"/>
        <w:color w:val="666666"/>
        <w:sz w:val="21"/>
        <w:szCs w:val="21"/>
      </w:rPr>
      <w:t>document</w:t>
    </w:r>
    <w:r>
      <w:rPr>
        <w:rFonts w:ascii="Open Sans" w:hAnsi="Open Sans" w:cs="Open Sans"/>
        <w:color w:val="666666"/>
        <w:sz w:val="21"/>
        <w:szCs w:val="21"/>
      </w:rPr>
      <w:t xml:space="preserve">, you agree not to hold </w:t>
    </w:r>
    <w:r w:rsidR="006A7EB0">
      <w:rPr>
        <w:rFonts w:ascii="Open Sans" w:hAnsi="Open Sans" w:cs="Open Sans"/>
        <w:color w:val="666666"/>
        <w:sz w:val="21"/>
        <w:szCs w:val="21"/>
      </w:rPr>
      <w:t>the creators</w:t>
    </w:r>
    <w:r>
      <w:rPr>
        <w:rFonts w:ascii="Open Sans" w:hAnsi="Open Sans" w:cs="Open Sans"/>
        <w:color w:val="666666"/>
        <w:sz w:val="21"/>
        <w:szCs w:val="21"/>
      </w:rPr>
      <w:t xml:space="preserve">, </w:t>
    </w:r>
    <w:r w:rsidR="006A7EB0">
      <w:rPr>
        <w:rFonts w:ascii="Open Sans" w:hAnsi="Open Sans" w:cs="Open Sans"/>
        <w:color w:val="666666"/>
        <w:sz w:val="21"/>
        <w:szCs w:val="21"/>
      </w:rPr>
      <w:t>their</w:t>
    </w:r>
    <w:r>
      <w:rPr>
        <w:rFonts w:ascii="Open Sans" w:hAnsi="Open Sans" w:cs="Open Sans"/>
        <w:color w:val="666666"/>
        <w:sz w:val="21"/>
        <w:szCs w:val="21"/>
      </w:rPr>
      <w:t xml:space="preserve"> affiliates or any </w:t>
    </w:r>
    <w:r>
      <w:rPr>
        <w:rFonts w:ascii="Open Sans" w:hAnsi="Open Sans" w:cs="Open Sans"/>
        <w:color w:val="666666"/>
        <w:sz w:val="21"/>
        <w:szCs w:val="21"/>
      </w:rPr>
      <w:t>third-party</w:t>
    </w:r>
    <w:r>
      <w:rPr>
        <w:rFonts w:ascii="Open Sans" w:hAnsi="Open Sans" w:cs="Open Sans"/>
        <w:color w:val="666666"/>
        <w:sz w:val="21"/>
        <w:szCs w:val="21"/>
      </w:rPr>
      <w:t xml:space="preserve"> service provider liable for any possible claim for damages arising from any decision you make based on information or other </w:t>
    </w:r>
    <w:r w:rsidR="006A7EB0">
      <w:rPr>
        <w:rFonts w:ascii="Open Sans" w:hAnsi="Open Sans" w:cs="Open Sans"/>
        <w:color w:val="666666"/>
        <w:sz w:val="21"/>
        <w:szCs w:val="21"/>
      </w:rPr>
      <w:t>content</w:t>
    </w:r>
    <w:r>
      <w:rPr>
        <w:rFonts w:ascii="Open Sans" w:hAnsi="Open Sans" w:cs="Open Sans"/>
        <w:color w:val="666666"/>
        <w:sz w:val="21"/>
        <w:szCs w:val="21"/>
      </w:rPr>
      <w:t xml:space="preserve"> made available to you through </w:t>
    </w:r>
    <w:r w:rsidR="006A7EB0">
      <w:rPr>
        <w:rFonts w:ascii="Open Sans" w:hAnsi="Open Sans" w:cs="Open Sans"/>
        <w:color w:val="666666"/>
        <w:sz w:val="21"/>
        <w:szCs w:val="21"/>
      </w:rPr>
      <w:t>this document</w:t>
    </w:r>
    <w:r>
      <w:rPr>
        <w:rFonts w:ascii="Open Sans" w:hAnsi="Open Sans" w:cs="Open Sans"/>
        <w:color w:val="666666"/>
        <w:sz w:val="21"/>
        <w:szCs w:val="21"/>
      </w:rPr>
      <w:t>.</w:t>
    </w:r>
  </w:p>
  <w:p w14:paraId="7B284F53" w14:textId="77777777" w:rsidR="00350E24" w:rsidRDefault="00350E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CE88D" w14:textId="77777777" w:rsidR="00CA53E0" w:rsidRDefault="00CA53E0" w:rsidP="0034095E">
      <w:pPr>
        <w:spacing w:after="0" w:line="240" w:lineRule="auto"/>
      </w:pPr>
      <w:r>
        <w:separator/>
      </w:r>
    </w:p>
  </w:footnote>
  <w:footnote w:type="continuationSeparator" w:id="0">
    <w:p w14:paraId="0717C263" w14:textId="77777777" w:rsidR="00CA53E0" w:rsidRDefault="00CA53E0" w:rsidP="003409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B41B0"/>
    <w:multiLevelType w:val="hybridMultilevel"/>
    <w:tmpl w:val="BC1E4E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6AC0C5A"/>
    <w:multiLevelType w:val="hybridMultilevel"/>
    <w:tmpl w:val="BC1E4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204464"/>
    <w:multiLevelType w:val="hybridMultilevel"/>
    <w:tmpl w:val="1C2623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EDF43BF"/>
    <w:multiLevelType w:val="hybridMultilevel"/>
    <w:tmpl w:val="BC1E4E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4FC3A32"/>
    <w:multiLevelType w:val="hybridMultilevel"/>
    <w:tmpl w:val="04F22B8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71749E1"/>
    <w:multiLevelType w:val="hybridMultilevel"/>
    <w:tmpl w:val="1C2623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D0C6775"/>
    <w:multiLevelType w:val="hybridMultilevel"/>
    <w:tmpl w:val="E37818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2F7537"/>
    <w:multiLevelType w:val="hybridMultilevel"/>
    <w:tmpl w:val="221044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FE6A3D"/>
    <w:multiLevelType w:val="hybridMultilevel"/>
    <w:tmpl w:val="9FF038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24215F"/>
    <w:multiLevelType w:val="hybridMultilevel"/>
    <w:tmpl w:val="1C2623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6B351B"/>
    <w:multiLevelType w:val="hybridMultilevel"/>
    <w:tmpl w:val="E4505E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BDC0015"/>
    <w:multiLevelType w:val="hybridMultilevel"/>
    <w:tmpl w:val="BC1E4E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7"/>
  </w:num>
  <w:num w:numId="2">
    <w:abstractNumId w:val="9"/>
  </w:num>
  <w:num w:numId="3">
    <w:abstractNumId w:val="5"/>
  </w:num>
  <w:num w:numId="4">
    <w:abstractNumId w:val="1"/>
  </w:num>
  <w:num w:numId="5">
    <w:abstractNumId w:val="3"/>
  </w:num>
  <w:num w:numId="6">
    <w:abstractNumId w:val="0"/>
  </w:num>
  <w:num w:numId="7">
    <w:abstractNumId w:val="10"/>
  </w:num>
  <w:num w:numId="8">
    <w:abstractNumId w:val="4"/>
  </w:num>
  <w:num w:numId="9">
    <w:abstractNumId w:val="2"/>
  </w:num>
  <w:num w:numId="10">
    <w:abstractNumId w:val="11"/>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3A7"/>
    <w:rsid w:val="0000263E"/>
    <w:rsid w:val="00024488"/>
    <w:rsid w:val="00040F89"/>
    <w:rsid w:val="0006404B"/>
    <w:rsid w:val="000C12DE"/>
    <w:rsid w:val="000C1E46"/>
    <w:rsid w:val="000E1AC0"/>
    <w:rsid w:val="00101BF4"/>
    <w:rsid w:val="001200BB"/>
    <w:rsid w:val="001719CA"/>
    <w:rsid w:val="00192008"/>
    <w:rsid w:val="001B633E"/>
    <w:rsid w:val="001C7FBF"/>
    <w:rsid w:val="00201580"/>
    <w:rsid w:val="00217C65"/>
    <w:rsid w:val="00262ABD"/>
    <w:rsid w:val="00265D05"/>
    <w:rsid w:val="002E134C"/>
    <w:rsid w:val="002F6289"/>
    <w:rsid w:val="00313881"/>
    <w:rsid w:val="0034095E"/>
    <w:rsid w:val="003503DA"/>
    <w:rsid w:val="00350B86"/>
    <w:rsid w:val="00350E24"/>
    <w:rsid w:val="003A624F"/>
    <w:rsid w:val="003B1E20"/>
    <w:rsid w:val="003B6437"/>
    <w:rsid w:val="003F2C82"/>
    <w:rsid w:val="00430080"/>
    <w:rsid w:val="00445161"/>
    <w:rsid w:val="00455D62"/>
    <w:rsid w:val="00465C14"/>
    <w:rsid w:val="00476A3B"/>
    <w:rsid w:val="00516F3D"/>
    <w:rsid w:val="0053038C"/>
    <w:rsid w:val="00536E0C"/>
    <w:rsid w:val="0054185D"/>
    <w:rsid w:val="005A11F7"/>
    <w:rsid w:val="005F3CFD"/>
    <w:rsid w:val="005F3FC7"/>
    <w:rsid w:val="00614EDD"/>
    <w:rsid w:val="00620F96"/>
    <w:rsid w:val="0067391B"/>
    <w:rsid w:val="006A7D25"/>
    <w:rsid w:val="006A7EB0"/>
    <w:rsid w:val="006B3615"/>
    <w:rsid w:val="006E3C6F"/>
    <w:rsid w:val="006E6AA6"/>
    <w:rsid w:val="00717329"/>
    <w:rsid w:val="007637DF"/>
    <w:rsid w:val="0077523F"/>
    <w:rsid w:val="00780CEC"/>
    <w:rsid w:val="0079330E"/>
    <w:rsid w:val="007B243F"/>
    <w:rsid w:val="007C63D6"/>
    <w:rsid w:val="007E2B40"/>
    <w:rsid w:val="007E414C"/>
    <w:rsid w:val="007F21A3"/>
    <w:rsid w:val="00817E4B"/>
    <w:rsid w:val="008B76AA"/>
    <w:rsid w:val="008E6F3C"/>
    <w:rsid w:val="00933148"/>
    <w:rsid w:val="00940B37"/>
    <w:rsid w:val="00947139"/>
    <w:rsid w:val="009B17B4"/>
    <w:rsid w:val="009B45DE"/>
    <w:rsid w:val="009B7044"/>
    <w:rsid w:val="009C56F6"/>
    <w:rsid w:val="009D2017"/>
    <w:rsid w:val="009D24CA"/>
    <w:rsid w:val="009E4A42"/>
    <w:rsid w:val="009F03A7"/>
    <w:rsid w:val="009F48CE"/>
    <w:rsid w:val="00A479FE"/>
    <w:rsid w:val="00A47A9F"/>
    <w:rsid w:val="00A6222A"/>
    <w:rsid w:val="00A65559"/>
    <w:rsid w:val="00A907FE"/>
    <w:rsid w:val="00AD29D0"/>
    <w:rsid w:val="00B05F74"/>
    <w:rsid w:val="00B31B3B"/>
    <w:rsid w:val="00B61E66"/>
    <w:rsid w:val="00B6474E"/>
    <w:rsid w:val="00BA34C1"/>
    <w:rsid w:val="00C1507B"/>
    <w:rsid w:val="00C16B5C"/>
    <w:rsid w:val="00C33161"/>
    <w:rsid w:val="00C37725"/>
    <w:rsid w:val="00C45F89"/>
    <w:rsid w:val="00C86726"/>
    <w:rsid w:val="00CA53E0"/>
    <w:rsid w:val="00CB4C93"/>
    <w:rsid w:val="00CC7664"/>
    <w:rsid w:val="00D06B4A"/>
    <w:rsid w:val="00D13FC7"/>
    <w:rsid w:val="00D4557E"/>
    <w:rsid w:val="00D66BDA"/>
    <w:rsid w:val="00E97143"/>
    <w:rsid w:val="00EC67D6"/>
    <w:rsid w:val="00ED1579"/>
    <w:rsid w:val="00ED6C6A"/>
    <w:rsid w:val="00EE3CAF"/>
    <w:rsid w:val="00EE5B79"/>
    <w:rsid w:val="00EE5CEA"/>
    <w:rsid w:val="00F043B6"/>
    <w:rsid w:val="00F729A4"/>
    <w:rsid w:val="00F90FCE"/>
    <w:rsid w:val="00FB634F"/>
    <w:rsid w:val="00FB6A4A"/>
    <w:rsid w:val="00FC5EC5"/>
    <w:rsid w:val="00FD5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D8BFF"/>
  <w15:chartTrackingRefBased/>
  <w15:docId w15:val="{C52948C3-7028-4420-AC5F-26B752ED1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36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BDA"/>
    <w:pPr>
      <w:ind w:left="720"/>
      <w:contextualSpacing/>
    </w:pPr>
  </w:style>
  <w:style w:type="character" w:styleId="Hyperlink">
    <w:name w:val="Hyperlink"/>
    <w:basedOn w:val="DefaultParagraphFont"/>
    <w:uiPriority w:val="99"/>
    <w:unhideWhenUsed/>
    <w:rsid w:val="00FC5EC5"/>
    <w:rPr>
      <w:color w:val="0563C1" w:themeColor="hyperlink"/>
      <w:u w:val="single"/>
    </w:rPr>
  </w:style>
  <w:style w:type="character" w:styleId="UnresolvedMention">
    <w:name w:val="Unresolved Mention"/>
    <w:basedOn w:val="DefaultParagraphFont"/>
    <w:uiPriority w:val="99"/>
    <w:semiHidden/>
    <w:unhideWhenUsed/>
    <w:rsid w:val="00FC5EC5"/>
    <w:rPr>
      <w:color w:val="605E5C"/>
      <w:shd w:val="clear" w:color="auto" w:fill="E1DFDD"/>
    </w:rPr>
  </w:style>
  <w:style w:type="character" w:styleId="FollowedHyperlink">
    <w:name w:val="FollowedHyperlink"/>
    <w:basedOn w:val="DefaultParagraphFont"/>
    <w:uiPriority w:val="99"/>
    <w:semiHidden/>
    <w:unhideWhenUsed/>
    <w:rsid w:val="0006404B"/>
    <w:rPr>
      <w:color w:val="954F72" w:themeColor="followedHyperlink"/>
      <w:u w:val="single"/>
    </w:rPr>
  </w:style>
  <w:style w:type="character" w:styleId="Emphasis">
    <w:name w:val="Emphasis"/>
    <w:basedOn w:val="DefaultParagraphFont"/>
    <w:uiPriority w:val="20"/>
    <w:qFormat/>
    <w:rsid w:val="0034095E"/>
    <w:rPr>
      <w:i/>
      <w:iCs/>
    </w:rPr>
  </w:style>
  <w:style w:type="paragraph" w:styleId="Header">
    <w:name w:val="header"/>
    <w:basedOn w:val="Normal"/>
    <w:link w:val="HeaderChar"/>
    <w:uiPriority w:val="99"/>
    <w:unhideWhenUsed/>
    <w:rsid w:val="003409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095E"/>
  </w:style>
  <w:style w:type="paragraph" w:styleId="Footer">
    <w:name w:val="footer"/>
    <w:basedOn w:val="Normal"/>
    <w:link w:val="FooterChar"/>
    <w:uiPriority w:val="99"/>
    <w:unhideWhenUsed/>
    <w:rsid w:val="003409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095E"/>
  </w:style>
  <w:style w:type="character" w:customStyle="1" w:styleId="Heading1Char">
    <w:name w:val="Heading 1 Char"/>
    <w:basedOn w:val="DefaultParagraphFont"/>
    <w:link w:val="Heading1"/>
    <w:uiPriority w:val="9"/>
    <w:rsid w:val="006B3615"/>
    <w:rPr>
      <w:rFonts w:asciiTheme="majorHAnsi" w:eastAsiaTheme="majorEastAsia" w:hAnsiTheme="majorHAnsi" w:cstheme="majorBidi"/>
      <w:color w:val="2F5496" w:themeColor="accent1" w:themeShade="BF"/>
      <w:sz w:val="32"/>
      <w:szCs w:val="32"/>
    </w:rPr>
  </w:style>
  <w:style w:type="paragraph" w:customStyle="1" w:styleId="xdefault">
    <w:name w:val="x_default"/>
    <w:basedOn w:val="Normal"/>
    <w:rsid w:val="00350E2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50E2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617256">
      <w:bodyDiv w:val="1"/>
      <w:marLeft w:val="0"/>
      <w:marRight w:val="0"/>
      <w:marTop w:val="0"/>
      <w:marBottom w:val="0"/>
      <w:divBdr>
        <w:top w:val="none" w:sz="0" w:space="0" w:color="auto"/>
        <w:left w:val="none" w:sz="0" w:space="0" w:color="auto"/>
        <w:bottom w:val="none" w:sz="0" w:space="0" w:color="auto"/>
        <w:right w:val="none" w:sz="0" w:space="0" w:color="auto"/>
      </w:divBdr>
      <w:divsChild>
        <w:div w:id="1873225228">
          <w:marLeft w:val="0"/>
          <w:marRight w:val="0"/>
          <w:marTop w:val="0"/>
          <w:marBottom w:val="0"/>
          <w:divBdr>
            <w:top w:val="none" w:sz="0" w:space="0" w:color="auto"/>
            <w:left w:val="none" w:sz="0" w:space="0" w:color="auto"/>
            <w:bottom w:val="none" w:sz="0" w:space="0" w:color="auto"/>
            <w:right w:val="none" w:sz="0" w:space="0" w:color="auto"/>
          </w:divBdr>
          <w:divsChild>
            <w:div w:id="494489704">
              <w:marLeft w:val="0"/>
              <w:marRight w:val="0"/>
              <w:marTop w:val="0"/>
              <w:marBottom w:val="0"/>
              <w:divBdr>
                <w:top w:val="none" w:sz="0" w:space="0" w:color="auto"/>
                <w:left w:val="none" w:sz="0" w:space="0" w:color="auto"/>
                <w:bottom w:val="none" w:sz="0" w:space="0" w:color="auto"/>
                <w:right w:val="none" w:sz="0" w:space="0" w:color="auto"/>
              </w:divBdr>
            </w:div>
            <w:div w:id="1002398035">
              <w:marLeft w:val="0"/>
              <w:marRight w:val="0"/>
              <w:marTop w:val="0"/>
              <w:marBottom w:val="0"/>
              <w:divBdr>
                <w:top w:val="none" w:sz="0" w:space="0" w:color="auto"/>
                <w:left w:val="none" w:sz="0" w:space="0" w:color="auto"/>
                <w:bottom w:val="none" w:sz="0" w:space="0" w:color="auto"/>
                <w:right w:val="none" w:sz="0" w:space="0" w:color="auto"/>
              </w:divBdr>
            </w:div>
            <w:div w:id="1352493192">
              <w:marLeft w:val="0"/>
              <w:marRight w:val="0"/>
              <w:marTop w:val="0"/>
              <w:marBottom w:val="0"/>
              <w:divBdr>
                <w:top w:val="none" w:sz="0" w:space="0" w:color="auto"/>
                <w:left w:val="none" w:sz="0" w:space="0" w:color="auto"/>
                <w:bottom w:val="none" w:sz="0" w:space="0" w:color="auto"/>
                <w:right w:val="none" w:sz="0" w:space="0" w:color="auto"/>
              </w:divBdr>
            </w:div>
            <w:div w:id="1612084470">
              <w:marLeft w:val="0"/>
              <w:marRight w:val="0"/>
              <w:marTop w:val="0"/>
              <w:marBottom w:val="0"/>
              <w:divBdr>
                <w:top w:val="none" w:sz="0" w:space="0" w:color="auto"/>
                <w:left w:val="none" w:sz="0" w:space="0" w:color="auto"/>
                <w:bottom w:val="none" w:sz="0" w:space="0" w:color="auto"/>
                <w:right w:val="none" w:sz="0" w:space="0" w:color="auto"/>
              </w:divBdr>
            </w:div>
            <w:div w:id="449133894">
              <w:marLeft w:val="0"/>
              <w:marRight w:val="0"/>
              <w:marTop w:val="0"/>
              <w:marBottom w:val="0"/>
              <w:divBdr>
                <w:top w:val="none" w:sz="0" w:space="0" w:color="auto"/>
                <w:left w:val="none" w:sz="0" w:space="0" w:color="auto"/>
                <w:bottom w:val="none" w:sz="0" w:space="0" w:color="auto"/>
                <w:right w:val="none" w:sz="0" w:space="0" w:color="auto"/>
              </w:divBdr>
            </w:div>
            <w:div w:id="1220365333">
              <w:marLeft w:val="0"/>
              <w:marRight w:val="0"/>
              <w:marTop w:val="0"/>
              <w:marBottom w:val="0"/>
              <w:divBdr>
                <w:top w:val="none" w:sz="0" w:space="0" w:color="auto"/>
                <w:left w:val="none" w:sz="0" w:space="0" w:color="auto"/>
                <w:bottom w:val="none" w:sz="0" w:space="0" w:color="auto"/>
                <w:right w:val="none" w:sz="0" w:space="0" w:color="auto"/>
              </w:divBdr>
            </w:div>
            <w:div w:id="1485587553">
              <w:marLeft w:val="0"/>
              <w:marRight w:val="0"/>
              <w:marTop w:val="0"/>
              <w:marBottom w:val="0"/>
              <w:divBdr>
                <w:top w:val="none" w:sz="0" w:space="0" w:color="auto"/>
                <w:left w:val="none" w:sz="0" w:space="0" w:color="auto"/>
                <w:bottom w:val="none" w:sz="0" w:space="0" w:color="auto"/>
                <w:right w:val="none" w:sz="0" w:space="0" w:color="auto"/>
              </w:divBdr>
            </w:div>
            <w:div w:id="1249734726">
              <w:marLeft w:val="0"/>
              <w:marRight w:val="0"/>
              <w:marTop w:val="0"/>
              <w:marBottom w:val="0"/>
              <w:divBdr>
                <w:top w:val="none" w:sz="0" w:space="0" w:color="auto"/>
                <w:left w:val="none" w:sz="0" w:space="0" w:color="auto"/>
                <w:bottom w:val="none" w:sz="0" w:space="0" w:color="auto"/>
                <w:right w:val="none" w:sz="0" w:space="0" w:color="auto"/>
              </w:divBdr>
            </w:div>
            <w:div w:id="1324242695">
              <w:marLeft w:val="0"/>
              <w:marRight w:val="0"/>
              <w:marTop w:val="0"/>
              <w:marBottom w:val="0"/>
              <w:divBdr>
                <w:top w:val="none" w:sz="0" w:space="0" w:color="auto"/>
                <w:left w:val="none" w:sz="0" w:space="0" w:color="auto"/>
                <w:bottom w:val="none" w:sz="0" w:space="0" w:color="auto"/>
                <w:right w:val="none" w:sz="0" w:space="0" w:color="auto"/>
              </w:divBdr>
            </w:div>
            <w:div w:id="1240750005">
              <w:marLeft w:val="0"/>
              <w:marRight w:val="0"/>
              <w:marTop w:val="0"/>
              <w:marBottom w:val="0"/>
              <w:divBdr>
                <w:top w:val="none" w:sz="0" w:space="0" w:color="auto"/>
                <w:left w:val="none" w:sz="0" w:space="0" w:color="auto"/>
                <w:bottom w:val="none" w:sz="0" w:space="0" w:color="auto"/>
                <w:right w:val="none" w:sz="0" w:space="0" w:color="auto"/>
              </w:divBdr>
            </w:div>
            <w:div w:id="1251230427">
              <w:marLeft w:val="0"/>
              <w:marRight w:val="0"/>
              <w:marTop w:val="0"/>
              <w:marBottom w:val="0"/>
              <w:divBdr>
                <w:top w:val="none" w:sz="0" w:space="0" w:color="auto"/>
                <w:left w:val="none" w:sz="0" w:space="0" w:color="auto"/>
                <w:bottom w:val="none" w:sz="0" w:space="0" w:color="auto"/>
                <w:right w:val="none" w:sz="0" w:space="0" w:color="auto"/>
              </w:divBdr>
            </w:div>
            <w:div w:id="1989705306">
              <w:marLeft w:val="0"/>
              <w:marRight w:val="0"/>
              <w:marTop w:val="0"/>
              <w:marBottom w:val="0"/>
              <w:divBdr>
                <w:top w:val="none" w:sz="0" w:space="0" w:color="auto"/>
                <w:left w:val="none" w:sz="0" w:space="0" w:color="auto"/>
                <w:bottom w:val="none" w:sz="0" w:space="0" w:color="auto"/>
                <w:right w:val="none" w:sz="0" w:space="0" w:color="auto"/>
              </w:divBdr>
            </w:div>
            <w:div w:id="1683358988">
              <w:marLeft w:val="0"/>
              <w:marRight w:val="0"/>
              <w:marTop w:val="0"/>
              <w:marBottom w:val="0"/>
              <w:divBdr>
                <w:top w:val="none" w:sz="0" w:space="0" w:color="auto"/>
                <w:left w:val="none" w:sz="0" w:space="0" w:color="auto"/>
                <w:bottom w:val="none" w:sz="0" w:space="0" w:color="auto"/>
                <w:right w:val="none" w:sz="0" w:space="0" w:color="auto"/>
              </w:divBdr>
            </w:div>
            <w:div w:id="51238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766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evenue.alabama.gov/wp-content/uploads/2017/08/16f40taxtable.pdf" TargetMode="External"/><Relationship Id="rId3" Type="http://schemas.openxmlformats.org/officeDocument/2006/relationships/settings" Target="settings.xml"/><Relationship Id="rId7" Type="http://schemas.openxmlformats.org/officeDocument/2006/relationships/hyperlink" Target="https://www.investopedia.com/terms/c/capital_gains_tax.asp" TargetMode="External"/><Relationship Id="rId12" Type="http://schemas.openxmlformats.org/officeDocument/2006/relationships/hyperlink" Target="https://arnoldmotewealthmanagement.com/iowans-new-tax-law-bracket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iplinger.com/taxes/tax-brackets/603738/irs-releases-income-tax-brackets-for-2022"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investopedia.com/terms/c/capital_gains_tax.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266</Words>
  <Characters>1520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Turner</dc:creator>
  <cp:keywords/>
  <dc:description/>
  <cp:lastModifiedBy>Brandon Turner</cp:lastModifiedBy>
  <cp:revision>7</cp:revision>
  <cp:lastPrinted>2022-01-17T18:39:00Z</cp:lastPrinted>
  <dcterms:created xsi:type="dcterms:W3CDTF">2022-01-20T19:51:00Z</dcterms:created>
  <dcterms:modified xsi:type="dcterms:W3CDTF">2022-01-20T20:13:00Z</dcterms:modified>
</cp:coreProperties>
</file>