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757A" w14:textId="5047E94E" w:rsidR="005E15B1" w:rsidRDefault="00D6204A" w:rsidP="00D6204A">
      <w:pPr>
        <w:pStyle w:val="ListParagraph"/>
        <w:numPr>
          <w:ilvl w:val="0"/>
          <w:numId w:val="1"/>
        </w:numPr>
      </w:pPr>
      <w:r>
        <w:t>We could get the frequency of the closing price and only pick stocks that are above a certain frequency which would eliminate the lower moving stocks that don’t do anything.</w:t>
      </w:r>
    </w:p>
    <w:p w14:paraId="71CE3744" w14:textId="60D5D50E" w:rsidR="00D6204A" w:rsidRDefault="00D54ACF" w:rsidP="00D6204A">
      <w:pPr>
        <w:pStyle w:val="ListParagraph"/>
        <w:numPr>
          <w:ilvl w:val="0"/>
          <w:numId w:val="1"/>
        </w:numPr>
      </w:pPr>
      <w:r>
        <w:t xml:space="preserve">Getting the </w:t>
      </w:r>
      <w:proofErr w:type="gramStart"/>
      <w:r>
        <w:t>amount</w:t>
      </w:r>
      <w:proofErr w:type="gramEnd"/>
      <w:r>
        <w:t xml:space="preserve"> of opened trades at the end of the day to close them. Use the following:</w:t>
      </w:r>
      <w:r w:rsidR="001E3403" w:rsidRPr="001E3403">
        <w:t xml:space="preserve"> </w:t>
      </w:r>
      <w:hyperlink r:id="rId5" w:history="1">
        <w:r w:rsidR="001E3403" w:rsidRPr="00AD6DAB">
          <w:rPr>
            <w:rStyle w:val="Hyperlink"/>
          </w:rPr>
          <w:t>https://tda-api.readthedocs.io/en/stable/client.html#tda.client.Client.get_orders_by_path</w:t>
        </w:r>
      </w:hyperlink>
    </w:p>
    <w:p w14:paraId="790E3900" w14:textId="77777777" w:rsidR="001E3403" w:rsidRDefault="001E3403" w:rsidP="001E3403"/>
    <w:p w14:paraId="65AED5A3" w14:textId="6BDC34AA" w:rsidR="00D54ACF" w:rsidRDefault="00D54ACF" w:rsidP="00D54ACF"/>
    <w:p w14:paraId="2A8DE117" w14:textId="77777777" w:rsidR="00D54ACF" w:rsidRPr="00D54ACF" w:rsidRDefault="00D54ACF" w:rsidP="00D54ACF">
      <w:pPr>
        <w:shd w:val="clear" w:color="auto" w:fill="FCFCFC"/>
        <w:spacing w:after="360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 w:rsidRPr="00D54ACF"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  <w:t>Accessing Existing Orders</w:t>
      </w:r>
      <w:hyperlink r:id="rId6" w:anchor="accessing-existing-orders" w:tooltip="Permalink to this headline" w:history="1">
        <w:r w:rsidRPr="00D54ACF">
          <w:rPr>
            <w:rFonts w:ascii="FontAwesome" w:eastAsia="Times New Roman" w:hAnsi="FontAwesome" w:cs="Times New Roman"/>
            <w:b/>
            <w:bCs/>
            <w:color w:val="2980B9"/>
            <w:sz w:val="21"/>
            <w:szCs w:val="21"/>
            <w:u w:val="single"/>
          </w:rPr>
          <w:sym w:font="Symbol" w:char="F0C1"/>
        </w:r>
      </w:hyperlink>
    </w:p>
    <w:p w14:paraId="2000F7F7" w14:textId="77777777" w:rsidR="00D54ACF" w:rsidRPr="00D54ACF" w:rsidRDefault="00D54ACF" w:rsidP="00D54ACF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Lato" w:eastAsia="Times New Roman" w:hAnsi="Lato" w:cs="Times New Roman"/>
          <w:b/>
          <w:bCs/>
          <w:color w:val="2980B9"/>
        </w:rPr>
      </w:pPr>
      <w:r w:rsidRPr="00D54ACF">
        <w:rPr>
          <w:rFonts w:ascii="Consolas" w:eastAsia="Times New Roman" w:hAnsi="Consolas" w:cs="Times New Roman"/>
          <w:b/>
          <w:bCs/>
          <w:color w:val="000000"/>
        </w:rPr>
        <w:t>Client.get_orders_by_path</w:t>
      </w:r>
      <w:r w:rsidRPr="00D54ACF">
        <w:rPr>
          <w:rFonts w:ascii="Lato" w:eastAsia="Times New Roman" w:hAnsi="Lato" w:cs="Times New Roman"/>
          <w:b/>
          <w:bCs/>
          <w:color w:val="2980B9"/>
        </w:rPr>
        <w:t>(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account_id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*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max_results=None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from_entered_datetime=None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to_entered_datetime=None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status=None</w:t>
      </w:r>
      <w:r w:rsidRPr="00D54ACF">
        <w:rPr>
          <w:rFonts w:ascii="Lato" w:eastAsia="Times New Roman" w:hAnsi="Lato" w:cs="Times New Roman"/>
          <w:b/>
          <w:bCs/>
          <w:color w:val="2980B9"/>
        </w:rPr>
        <w:t>, </w:t>
      </w:r>
      <w:r w:rsidRPr="00D54ACF">
        <w:rPr>
          <w:rFonts w:ascii="Lato" w:eastAsia="Times New Roman" w:hAnsi="Lato" w:cs="Times New Roman"/>
          <w:b/>
          <w:bCs/>
          <w:i/>
          <w:iCs/>
          <w:color w:val="2980B9"/>
        </w:rPr>
        <w:t>statuses=None</w:t>
      </w:r>
      <w:r w:rsidRPr="00D54ACF">
        <w:rPr>
          <w:rFonts w:ascii="Lato" w:eastAsia="Times New Roman" w:hAnsi="Lato" w:cs="Times New Roman"/>
          <w:b/>
          <w:bCs/>
          <w:color w:val="2980B9"/>
        </w:rPr>
        <w:t>)</w:t>
      </w:r>
      <w:hyperlink r:id="rId7" w:anchor="tda.client.Client.get_orders_by_path" w:tooltip="Permalink to this definition" w:history="1">
        <w:r w:rsidRPr="00D54ACF">
          <w:rPr>
            <w:rFonts w:ascii="FontAwesome" w:eastAsia="Times New Roman" w:hAnsi="FontAwesome" w:cs="Times New Roman"/>
            <w:b/>
            <w:bCs/>
            <w:color w:val="404040"/>
            <w:u w:val="single"/>
          </w:rPr>
          <w:sym w:font="Symbol" w:char="F0C1"/>
        </w:r>
      </w:hyperlink>
    </w:p>
    <w:p w14:paraId="60357294" w14:textId="77777777" w:rsidR="00D54ACF" w:rsidRPr="00D54ACF" w:rsidRDefault="00D54ACF" w:rsidP="00D54ACF">
      <w:pPr>
        <w:shd w:val="clear" w:color="auto" w:fill="FCFCFC"/>
        <w:spacing w:after="18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</w:rPr>
      </w:pP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Orders for a specific account. At most one of </w:t>
      </w:r>
      <w:r w:rsidRPr="00D54AC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status</w: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Pr="00D54AC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statuses</w: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may be set. </w:t>
      </w:r>
      <w:hyperlink r:id="rId8" w:history="1">
        <w:r w:rsidRPr="00D54ACF">
          <w:rPr>
            <w:rFonts w:ascii="Lato" w:eastAsia="Times New Roman" w:hAnsi="Lato" w:cs="Times New Roman"/>
            <w:color w:val="2980B9"/>
            <w:sz w:val="24"/>
            <w:szCs w:val="24"/>
            <w:u w:val="single"/>
          </w:rPr>
          <w:t>Official documentation</w:t>
        </w:r>
      </w:hyperlink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7D798C47" w14:textId="77777777" w:rsidR="00D54ACF" w:rsidRPr="00D54ACF" w:rsidRDefault="00D54ACF" w:rsidP="00D54ACF">
      <w:pPr>
        <w:shd w:val="clear" w:color="auto" w:fill="FCFCFC"/>
        <w:spacing w:after="0" w:line="360" w:lineRule="atLeast"/>
        <w:ind w:left="720"/>
        <w:rPr>
          <w:rFonts w:ascii="Lato" w:eastAsia="Times New Roman" w:hAnsi="Lato" w:cs="Times New Roman"/>
          <w:b/>
          <w:bCs/>
          <w:color w:val="404040"/>
          <w:sz w:val="24"/>
          <w:szCs w:val="24"/>
        </w:rPr>
      </w:pPr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Parameters</w:t>
      </w:r>
    </w:p>
    <w:p w14:paraId="3B076AF1" w14:textId="77777777" w:rsidR="00D54ACF" w:rsidRPr="00D54ACF" w:rsidRDefault="00D54ACF" w:rsidP="00D54ACF">
      <w:pPr>
        <w:numPr>
          <w:ilvl w:val="0"/>
          <w:numId w:val="2"/>
        </w:numPr>
        <w:shd w:val="clear" w:color="auto" w:fill="FCFCFC"/>
        <w:spacing w:after="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max_results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– The maximum number of orders to retrieve.</w:t>
      </w:r>
    </w:p>
    <w:p w14:paraId="269E6FCD" w14:textId="77777777" w:rsidR="00D54ACF" w:rsidRPr="00D54ACF" w:rsidRDefault="00D54ACF" w:rsidP="00D54ACF">
      <w:pPr>
        <w:numPr>
          <w:ilvl w:val="0"/>
          <w:numId w:val="2"/>
        </w:numPr>
        <w:shd w:val="clear" w:color="auto" w:fill="FCFCFC"/>
        <w:spacing w:after="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from_entered_datetime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– Specifies that no orders entered before this time should be returned. Date must be within 60 days from today’s date. </w:t>
      </w:r>
      <w:proofErr w:type="spellStart"/>
      <w:r w:rsidRPr="00D54AC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toEnteredTime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must also be set.</w:t>
      </w:r>
    </w:p>
    <w:p w14:paraId="2733D38E" w14:textId="77777777" w:rsidR="00D54ACF" w:rsidRPr="00D54ACF" w:rsidRDefault="00D54ACF" w:rsidP="00D54ACF">
      <w:pPr>
        <w:numPr>
          <w:ilvl w:val="0"/>
          <w:numId w:val="2"/>
        </w:numPr>
        <w:shd w:val="clear" w:color="auto" w:fill="FCFCFC"/>
        <w:spacing w:after="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to_entered_datetime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– Specifies that no orders entered after this time should be returned. </w:t>
      </w:r>
      <w:proofErr w:type="spellStart"/>
      <w:r w:rsidRPr="00D54AC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fromEnteredTime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must also be set.</w:t>
      </w:r>
    </w:p>
    <w:p w14:paraId="0A47BE63" w14:textId="77777777" w:rsidR="00D54ACF" w:rsidRPr="00D54ACF" w:rsidRDefault="00D54ACF" w:rsidP="00D54ACF">
      <w:pPr>
        <w:numPr>
          <w:ilvl w:val="0"/>
          <w:numId w:val="2"/>
        </w:numPr>
        <w:shd w:val="clear" w:color="auto" w:fill="FCFCFC"/>
        <w:spacing w:after="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</w:rPr>
      </w:pPr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status</w: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– Restrict query to orders with this status. See </w:t>
      </w:r>
      <w:proofErr w:type="spellStart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begin"/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instrText xml:space="preserve"> HYPERLINK "https://tda-api.readthedocs.io/en/stable/client.html" \l "tda.client.Client.Order.Status" \o "tda.client.Client.Order.Status" </w:instrTex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separate"/>
      </w:r>
      <w:r w:rsidRPr="00D54ACF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Order.Status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end"/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for options.</w:t>
      </w:r>
    </w:p>
    <w:p w14:paraId="7D5FA099" w14:textId="77777777" w:rsidR="00D54ACF" w:rsidRPr="00D54ACF" w:rsidRDefault="00D54ACF" w:rsidP="00D54ACF">
      <w:pPr>
        <w:numPr>
          <w:ilvl w:val="0"/>
          <w:numId w:val="2"/>
        </w:numPr>
        <w:shd w:val="clear" w:color="auto" w:fill="FCFCFC"/>
        <w:spacing w:after="0" w:line="360" w:lineRule="atLeast"/>
        <w:ind w:left="1800"/>
        <w:rPr>
          <w:rFonts w:ascii="Lato" w:eastAsia="Times New Roman" w:hAnsi="Lato" w:cs="Times New Roman"/>
          <w:color w:val="404040"/>
          <w:sz w:val="24"/>
          <w:szCs w:val="24"/>
        </w:rPr>
      </w:pPr>
      <w:r w:rsidRPr="00D54ACF">
        <w:rPr>
          <w:rFonts w:ascii="Lato" w:eastAsia="Times New Roman" w:hAnsi="Lato" w:cs="Times New Roman"/>
          <w:b/>
          <w:bCs/>
          <w:color w:val="404040"/>
          <w:sz w:val="24"/>
          <w:szCs w:val="24"/>
        </w:rPr>
        <w:t>statuses</w: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– Restrict query to orders with any of these statuses. See </w:t>
      </w:r>
      <w:proofErr w:type="spellStart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begin"/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instrText xml:space="preserve"> HYPERLINK "https://tda-api.readthedocs.io/en/stable/client.html" \l "tda.client.Client.Order.Status" \o "tda.client.Client.Order.Status" </w:instrText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separate"/>
      </w:r>
      <w:r w:rsidRPr="00D54ACF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Order.Status</w:t>
      </w:r>
      <w:proofErr w:type="spellEnd"/>
      <w:r w:rsidRPr="00D54ACF">
        <w:rPr>
          <w:rFonts w:ascii="Lato" w:eastAsia="Times New Roman" w:hAnsi="Lato" w:cs="Times New Roman"/>
          <w:color w:val="404040"/>
          <w:sz w:val="24"/>
          <w:szCs w:val="24"/>
        </w:rPr>
        <w:fldChar w:fldCharType="end"/>
      </w:r>
      <w:r w:rsidRPr="00D54ACF">
        <w:rPr>
          <w:rFonts w:ascii="Lato" w:eastAsia="Times New Roman" w:hAnsi="Lato" w:cs="Times New Roman"/>
          <w:color w:val="404040"/>
          <w:sz w:val="24"/>
          <w:szCs w:val="24"/>
        </w:rPr>
        <w:t> for options.</w:t>
      </w:r>
    </w:p>
    <w:p w14:paraId="79DD5DA8" w14:textId="53DE3C28" w:rsidR="00D54ACF" w:rsidRDefault="00D54ACF" w:rsidP="00D54ACF"/>
    <w:p w14:paraId="0FB6A679" w14:textId="4D8D2775" w:rsidR="00D54ACF" w:rsidRDefault="00D54ACF" w:rsidP="00D54ACF">
      <w:pPr>
        <w:pStyle w:val="ListParagraph"/>
        <w:numPr>
          <w:ilvl w:val="0"/>
          <w:numId w:val="1"/>
        </w:numPr>
      </w:pPr>
    </w:p>
    <w:sectPr w:rsidR="00D5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0AF9"/>
    <w:multiLevelType w:val="hybridMultilevel"/>
    <w:tmpl w:val="9010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32A4A"/>
    <w:multiLevelType w:val="multilevel"/>
    <w:tmpl w:val="42A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3D"/>
    <w:rsid w:val="000B7A3D"/>
    <w:rsid w:val="001E3403"/>
    <w:rsid w:val="009E4A42"/>
    <w:rsid w:val="00A479FE"/>
    <w:rsid w:val="00B6474E"/>
    <w:rsid w:val="00D54ACF"/>
    <w:rsid w:val="00D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12B7"/>
  <w15:chartTrackingRefBased/>
  <w15:docId w15:val="{3295FFCF-F520-428F-8B11-EA67D63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4A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54ACF"/>
    <w:rPr>
      <w:color w:val="0000FF"/>
      <w:u w:val="single"/>
    </w:rPr>
  </w:style>
  <w:style w:type="character" w:customStyle="1" w:styleId="pre">
    <w:name w:val="pre"/>
    <w:basedOn w:val="DefaultParagraphFont"/>
    <w:rsid w:val="00D54ACF"/>
  </w:style>
  <w:style w:type="character" w:customStyle="1" w:styleId="sig-paren">
    <w:name w:val="sig-paren"/>
    <w:basedOn w:val="DefaultParagraphFont"/>
    <w:rsid w:val="00D54ACF"/>
  </w:style>
  <w:style w:type="paragraph" w:styleId="NormalWeb">
    <w:name w:val="Normal (Web)"/>
    <w:basedOn w:val="Normal"/>
    <w:uiPriority w:val="99"/>
    <w:semiHidden/>
    <w:unhideWhenUsed/>
    <w:rsid w:val="00D5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4AC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3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dameritrade.com/account-access/apis/get/accounts/%7BaccountId%7D/orders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da-api.readthedocs.io/en/stable/cli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da-api.readthedocs.io/en/stable/client.html" TargetMode="External"/><Relationship Id="rId5" Type="http://schemas.openxmlformats.org/officeDocument/2006/relationships/hyperlink" Target="https://tda-api.readthedocs.io/en/stable/client.html#tda.client.Client.get_orders_by_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4</cp:revision>
  <dcterms:created xsi:type="dcterms:W3CDTF">2022-03-22T18:28:00Z</dcterms:created>
  <dcterms:modified xsi:type="dcterms:W3CDTF">2022-03-25T18:52:00Z</dcterms:modified>
</cp:coreProperties>
</file>