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ED01FA" w14:textId="6D82F054" w:rsidR="006B6D68" w:rsidRPr="006B6D68" w:rsidRDefault="006B6D68" w:rsidP="006B6D68">
      <w:pPr>
        <w:pBdr>
          <w:bottom w:val="single" w:sz="8" w:space="4" w:color="4F81BD"/>
        </w:pBdr>
        <w:spacing w:after="300" w:line="240" w:lineRule="auto"/>
        <w:contextualSpacing/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</w:pP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Arquitectura 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Soluciones en </w:t>
      </w:r>
      <w:r w:rsidRPr="006B6D68"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>Azure</w:t>
      </w:r>
      <w:r>
        <w:rPr>
          <w:rFonts w:ascii="Calibri" w:eastAsia="MS Gothic" w:hAnsi="Calibri" w:cs="Times New Roman"/>
          <w:color w:val="17365D"/>
          <w:spacing w:val="5"/>
          <w:kern w:val="28"/>
          <w:sz w:val="52"/>
          <w:szCs w:val="52"/>
          <w:lang w:val="es-EC"/>
          <w14:ligatures w14:val="none"/>
        </w:rPr>
        <w:t xml:space="preserve"> - BP</w:t>
      </w:r>
    </w:p>
    <w:p w14:paraId="7D62CECB" w14:textId="77777777" w:rsidR="00225A52" w:rsidRDefault="00225A52">
      <w:pPr>
        <w:rPr>
          <w:lang w:val="es-EC"/>
        </w:rPr>
      </w:pPr>
    </w:p>
    <w:p w14:paraId="1D8BB087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1. Resumen Ejecutivo</w:t>
      </w:r>
    </w:p>
    <w:p w14:paraId="12FFE544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BP Online Banking es una plataforma moderna en Azure que habilita consulta de movimientos, pagos y transferencias propias e interbancarias. La solución usa APIM como puerta de enlace, microservicios .NET en Azure Container Apps, lectura rápida con Cosmos DB (CQRS) y transaccional/auditoría en Azure SQL (Ledger). La autenticación se implementa con OAuth2/OIDC (Authorization Code + PKCE) sobre Entra ID/B2C, incorporando onboarding biométrico. La mensajería con Azure Service Bus desacopla procesos y alimenta notificaciones (Microsoft Graph/ACS) y auditoría. La arquitectura prioriza seguridad (WAF, APIM policies, Private Link, Key Vault), alta disponibilidad, DR multi-región, observabilidad (App Insights) y control de costos (serverless y autoscale), cumpliendo normativa de protección de datos y estándares de seguridad para el sector financiero.</w:t>
      </w:r>
    </w:p>
    <w:p w14:paraId="2521D240" w14:textId="77777777" w:rsidR="006B6D68" w:rsidRDefault="006B6D68">
      <w:pPr>
        <w:rPr>
          <w:lang w:val="es-EC"/>
        </w:rPr>
      </w:pPr>
    </w:p>
    <w:p w14:paraId="44DA1F17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2. Diagrama de Contexto (C1)</w:t>
      </w:r>
    </w:p>
    <w:p w14:paraId="7EE7A12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Actores</w:t>
      </w:r>
    </w:p>
    <w:p w14:paraId="171F23CD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Usuario web (SPA)</w:t>
      </w:r>
      <w:r w:rsidRPr="006B6D68">
        <w:rPr>
          <w:lang w:val="es-EC"/>
        </w:rPr>
        <w:br/>
        <w:t>- Usuario móvil (App)</w:t>
      </w:r>
      <w:r w:rsidRPr="006B6D68">
        <w:rPr>
          <w:lang w:val="es-EC"/>
        </w:rPr>
        <w:br/>
        <w:t>- Soporte / BP Ops</w:t>
      </w:r>
    </w:p>
    <w:p w14:paraId="20AD2B0B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Sistemas externos</w:t>
      </w:r>
    </w:p>
    <w:p w14:paraId="2E5907FC" w14:textId="4C936089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Core Bancario (productos, saldos, movimientos)</w:t>
      </w:r>
      <w:r w:rsidRPr="006B6D68">
        <w:rPr>
          <w:lang w:val="es-EC"/>
        </w:rPr>
        <w:br/>
        <w:t>- Sistema de Detalle de Cliente (información enriquecida)</w:t>
      </w:r>
      <w:r w:rsidRPr="006B6D68">
        <w:rPr>
          <w:lang w:val="es-EC"/>
        </w:rPr>
        <w:br/>
        <w:t>- Red Interbancaria / Switch (transferencias ISO 8583/REST)</w:t>
      </w:r>
      <w:r w:rsidRPr="006B6D68">
        <w:rPr>
          <w:lang w:val="es-EC"/>
        </w:rPr>
        <w:br/>
        <w:t>- Proveedores de notificaciones (Microsoft Graph, Azure Communication Services, Twilio/SendGrid)</w:t>
      </w:r>
      <w:r w:rsidRPr="006B6D68">
        <w:rPr>
          <w:lang w:val="es-EC"/>
        </w:rPr>
        <w:br/>
        <w:t>- Proveedor biométrico (Azure AI Vision, Onfido, Jumio</w:t>
      </w:r>
      <w:r w:rsidR="00FD0B57">
        <w:rPr>
          <w:lang w:val="es-EC"/>
        </w:rPr>
        <w:t xml:space="preserve">, Facephi </w:t>
      </w:r>
      <w:r w:rsidR="007A7F5C">
        <w:rPr>
          <w:lang w:val="es-EC"/>
        </w:rPr>
        <w:t>widget (angular o javascript)</w:t>
      </w:r>
      <w:r w:rsidRPr="006B6D68">
        <w:rPr>
          <w:lang w:val="es-EC"/>
        </w:rPr>
        <w:t>)</w:t>
      </w:r>
      <w:r w:rsidRPr="006B6D68">
        <w:rPr>
          <w:lang w:val="es-EC"/>
        </w:rPr>
        <w:br/>
        <w:t>- Identity Provider OAuth2/OIDC (Microsoft Entra ID / Entra ID B2C)</w:t>
      </w:r>
    </w:p>
    <w:p w14:paraId="289410DC" w14:textId="77777777" w:rsidR="006B6D68" w:rsidRDefault="006B6D68" w:rsidP="006B6D68">
      <w:pPr>
        <w:pStyle w:val="Heading2"/>
      </w:pPr>
      <w:r>
        <w:t>Sistema BP Online Banking</w:t>
      </w:r>
    </w:p>
    <w:p w14:paraId="5357983F" w14:textId="77777777" w:rsidR="006B6D68" w:rsidRDefault="006B6D68" w:rsidP="006B6D68">
      <w:r>
        <w:t>- SPA (Angular)</w:t>
      </w:r>
      <w:r>
        <w:br/>
        <w:t>- Mobile App (Flutter)</w:t>
      </w:r>
      <w:r>
        <w:br/>
        <w:t>- API Gateway (Azure API Management – APIM)</w:t>
      </w:r>
      <w:r>
        <w:br/>
        <w:t>- Microservicios en .NET: Customer Basic Data, Movements Query, Transfers, Notifications, Onboarding Orchestrator, Audit &amp; Compliance, BFF Web/Mobile (opcional)</w:t>
      </w:r>
      <w:r>
        <w:br/>
      </w:r>
      <w:r>
        <w:lastRenderedPageBreak/>
        <w:t>- Bases de datos: Cosmos DB, Azure SQL, Blob Storage</w:t>
      </w:r>
      <w:r>
        <w:br/>
        <w:t>- Mensajería: Azure Service Bus</w:t>
      </w:r>
    </w:p>
    <w:p w14:paraId="3ABE7514" w14:textId="7ECE67FA" w:rsidR="00F211BF" w:rsidRDefault="00F211BF" w:rsidP="006B6D68">
      <w:r>
        <w:rPr>
          <w:noProof/>
        </w:rPr>
        <w:drawing>
          <wp:inline distT="0" distB="0" distL="0" distR="0" wp14:anchorId="7FA6617D" wp14:editId="742FADCC">
            <wp:extent cx="5943600" cy="4006215"/>
            <wp:effectExtent l="0" t="0" r="0" b="0"/>
            <wp:docPr id="1574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CA3C" w14:textId="77777777" w:rsidR="00FD0B57" w:rsidRDefault="00FD0B57" w:rsidP="006B6D68"/>
    <w:p w14:paraId="62E25305" w14:textId="77777777" w:rsidR="006B6D68" w:rsidRDefault="006B6D68" w:rsidP="006B6D68">
      <w:pPr>
        <w:pStyle w:val="Heading1"/>
      </w:pPr>
      <w:r>
        <w:t>3. Diagrama de Contenedores (C2)</w:t>
      </w:r>
    </w:p>
    <w:p w14:paraId="1F97CB73" w14:textId="77777777" w:rsidR="006B6D68" w:rsidRDefault="006B6D68" w:rsidP="006B6D68">
      <w:pPr>
        <w:pStyle w:val="Heading2"/>
      </w:pPr>
      <w:r>
        <w:t>Frontends</w:t>
      </w:r>
    </w:p>
    <w:p w14:paraId="1D64AC15" w14:textId="77777777" w:rsidR="006B6D68" w:rsidRDefault="006B6D68" w:rsidP="006B6D68">
      <w:r>
        <w:t>- SPA (Angular)</w:t>
      </w:r>
      <w:r>
        <w:br/>
        <w:t>- Mobile (Flutter)</w:t>
      </w:r>
    </w:p>
    <w:p w14:paraId="3A2A6909" w14:textId="77777777" w:rsidR="006B6D68" w:rsidRDefault="006B6D68" w:rsidP="006B6D68">
      <w:pPr>
        <w:pStyle w:val="Heading2"/>
      </w:pPr>
      <w:r>
        <w:t>Edge</w:t>
      </w:r>
    </w:p>
    <w:p w14:paraId="080C5C15" w14:textId="77777777" w:rsidR="006B6D68" w:rsidRDefault="006B6D68" w:rsidP="006B6D68">
      <w:r>
        <w:t>- Azure Front Door + WAF</w:t>
      </w:r>
      <w:r>
        <w:br/>
        <w:t>- APIM (API Gateway, policies, subscription key, OAuth2/OIDC)</w:t>
      </w:r>
    </w:p>
    <w:p w14:paraId="5D3554FD" w14:textId="77777777" w:rsidR="006B6D68" w:rsidRDefault="006B6D68" w:rsidP="006B6D68">
      <w:pPr>
        <w:pStyle w:val="Heading2"/>
      </w:pPr>
      <w:r>
        <w:t>Backend – Container Apps</w:t>
      </w:r>
    </w:p>
    <w:p w14:paraId="620A5310" w14:textId="77777777" w:rsidR="006B6D68" w:rsidRDefault="006B6D68" w:rsidP="006B6D68">
      <w:r>
        <w:t>- BFF Web y Mobile</w:t>
      </w:r>
      <w:r>
        <w:br/>
        <w:t>- Customer Basic Data Service</w:t>
      </w:r>
      <w:r>
        <w:br/>
        <w:t>- Movements Query Service</w:t>
      </w:r>
      <w:r>
        <w:br/>
        <w:t>- Transfers Service</w:t>
      </w:r>
      <w:r>
        <w:br/>
      </w:r>
      <w:r>
        <w:lastRenderedPageBreak/>
        <w:t>- Notifications Service</w:t>
      </w:r>
      <w:r>
        <w:br/>
        <w:t>- Onboarding Orchestrator</w:t>
      </w:r>
      <w:r>
        <w:br/>
        <w:t>- Audit &amp; Compliance</w:t>
      </w:r>
      <w:r>
        <w:br/>
        <w:t>- Identity Adapter</w:t>
      </w:r>
    </w:p>
    <w:p w14:paraId="41216EE5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Datos</w:t>
      </w:r>
    </w:p>
    <w:p w14:paraId="3AA8181D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Azure SQL Database</w:t>
      </w:r>
      <w:r w:rsidRPr="006B6D68">
        <w:rPr>
          <w:lang w:val="es-EC"/>
        </w:rPr>
        <w:br/>
        <w:t>- Cosmos DB</w:t>
      </w:r>
      <w:r w:rsidRPr="006B6D68">
        <w:rPr>
          <w:lang w:val="es-EC"/>
        </w:rPr>
        <w:br/>
        <w:t>- Blob Storage</w:t>
      </w:r>
      <w:r w:rsidRPr="006B6D68">
        <w:rPr>
          <w:lang w:val="es-EC"/>
        </w:rPr>
        <w:br/>
        <w:t>- Redis (opcional)</w:t>
      </w:r>
    </w:p>
    <w:p w14:paraId="5DB1F0F7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Mensajería</w:t>
      </w:r>
    </w:p>
    <w:p w14:paraId="0E762B2B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Azure Service Bus</w:t>
      </w:r>
      <w:r w:rsidRPr="006B6D68">
        <w:rPr>
          <w:lang w:val="es-EC"/>
        </w:rPr>
        <w:br/>
        <w:t>- Event Grid (opcional)</w:t>
      </w:r>
    </w:p>
    <w:p w14:paraId="6662D8A0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Seguridad y Observabilidad</w:t>
      </w:r>
    </w:p>
    <w:p w14:paraId="791D6151" w14:textId="77777777" w:rsidR="006B6D68" w:rsidRDefault="006B6D68" w:rsidP="006B6D68">
      <w:r>
        <w:t>- Application Insights</w:t>
      </w:r>
      <w:r>
        <w:br/>
        <w:t>- Azure Monitor</w:t>
      </w:r>
      <w:r>
        <w:br/>
        <w:t>- Sentinel</w:t>
      </w:r>
      <w:r>
        <w:br/>
        <w:t>- Key Vault</w:t>
      </w:r>
      <w:r>
        <w:br/>
        <w:t>- Defender for Cloud</w:t>
      </w:r>
      <w:r>
        <w:br/>
        <w:t>- Private Link</w:t>
      </w:r>
    </w:p>
    <w:p w14:paraId="5A756B54" w14:textId="77777777" w:rsidR="00084A9B" w:rsidRDefault="00084A9B" w:rsidP="006B6D68"/>
    <w:p w14:paraId="7B886236" w14:textId="3A7E9130" w:rsidR="003B02D7" w:rsidRPr="003B02D7" w:rsidRDefault="003B02D7" w:rsidP="003B02D7">
      <w:pPr>
        <w:pStyle w:val="ListParagraph"/>
        <w:numPr>
          <w:ilvl w:val="0"/>
          <w:numId w:val="1"/>
        </w:numPr>
        <w:rPr>
          <w:rFonts w:ascii="Segoe UI Emoji" w:hAnsi="Segoe UI Emoji" w:cs="Segoe UI Emoji"/>
          <w:lang w:val="es-EC"/>
        </w:rPr>
      </w:pPr>
      <w:r w:rsidRPr="003B02D7">
        <w:rPr>
          <w:b/>
          <w:bCs/>
          <w:lang w:val="es-EC"/>
        </w:rPr>
        <w:t>Front y Mobile App</w:t>
      </w:r>
      <w:r w:rsidRPr="003B02D7">
        <w:rPr>
          <w:lang w:val="es-EC"/>
        </w:rPr>
        <w:t xml:space="preserve"> → representaste </w:t>
      </w:r>
      <w:r w:rsidRPr="003B02D7">
        <w:rPr>
          <w:b/>
          <w:bCs/>
          <w:lang w:val="es-EC"/>
        </w:rPr>
        <w:t>SPA</w:t>
      </w:r>
      <w:r w:rsidRPr="003B02D7">
        <w:rPr>
          <w:lang w:val="es-EC"/>
        </w:rPr>
        <w:t xml:space="preserve"> y </w:t>
      </w:r>
      <w:r w:rsidRPr="003B02D7">
        <w:rPr>
          <w:b/>
          <w:bCs/>
          <w:lang w:val="es-EC"/>
        </w:rPr>
        <w:t>App Móvil</w:t>
      </w:r>
      <w:r w:rsidRPr="003B02D7">
        <w:rPr>
          <w:lang w:val="es-EC"/>
        </w:rPr>
        <w:t xml:space="preserve"> como actores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683E5A7A" w14:textId="77777777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Front Door + WAF</w:t>
      </w:r>
      <w:r w:rsidRPr="003B02D7">
        <w:rPr>
          <w:lang w:val="es-EC"/>
        </w:rPr>
        <w:t xml:space="preserve"> → perfecto, cumple con </w:t>
      </w:r>
      <w:r w:rsidRPr="003B02D7">
        <w:rPr>
          <w:b/>
          <w:bCs/>
          <w:lang w:val="es-EC"/>
        </w:rPr>
        <w:t>seguridad y balanceo global</w:t>
      </w:r>
      <w:r w:rsidRPr="003B02D7">
        <w:rPr>
          <w:lang w:val="es-EC"/>
        </w:rPr>
        <w:t xml:space="preserve">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2385ABDE" w14:textId="77777777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API Management (APIM)</w:t>
      </w:r>
      <w:r w:rsidRPr="003B02D7">
        <w:rPr>
          <w:lang w:val="es-EC"/>
        </w:rPr>
        <w:t xml:space="preserve"> → cubre </w:t>
      </w:r>
      <w:r w:rsidRPr="003B02D7">
        <w:rPr>
          <w:b/>
          <w:bCs/>
          <w:lang w:val="es-EC"/>
        </w:rPr>
        <w:t>API Gateway y control de entrada</w:t>
      </w:r>
      <w:r w:rsidRPr="003B02D7">
        <w:rPr>
          <w:lang w:val="es-EC"/>
        </w:rPr>
        <w:t xml:space="preserve">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45749367" w14:textId="77777777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Microservicios en contenedores</w:t>
      </w:r>
      <w:r w:rsidRPr="003B02D7">
        <w:rPr>
          <w:lang w:val="es-EC"/>
        </w:rPr>
        <w:t xml:space="preserve"> → segmentaste bien: Customer, Movements, Transfers, Notifications, Audit, Onboarding, BFF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6EE06C86" w14:textId="77777777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Almacenamiento y BD</w:t>
      </w:r>
      <w:r w:rsidRPr="003B02D7">
        <w:rPr>
          <w:lang w:val="es-EC"/>
        </w:rPr>
        <w:t xml:space="preserve"> → incluiste SQL, Cosmos, Blob Storage, Service Bus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7601E11D" w14:textId="77777777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Comunicación</w:t>
      </w:r>
      <w:r w:rsidRPr="003B02D7">
        <w:rPr>
          <w:lang w:val="es-EC"/>
        </w:rPr>
        <w:t xml:space="preserve"> → las conexiones REST/gRPC y pub/sub están claras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13FD77BA" w14:textId="4089800A" w:rsidR="003B02D7" w:rsidRPr="003B02D7" w:rsidRDefault="003B02D7" w:rsidP="003B02D7">
      <w:pPr>
        <w:pStyle w:val="ListParagraph"/>
        <w:numPr>
          <w:ilvl w:val="0"/>
          <w:numId w:val="1"/>
        </w:numPr>
        <w:rPr>
          <w:lang w:val="es-EC"/>
        </w:rPr>
      </w:pPr>
      <w:r w:rsidRPr="003B02D7">
        <w:rPr>
          <w:b/>
          <w:bCs/>
          <w:lang w:val="es-EC"/>
        </w:rPr>
        <w:t>Escalabilidad y resiliencia</w:t>
      </w:r>
      <w:r w:rsidRPr="003B02D7">
        <w:rPr>
          <w:lang w:val="es-EC"/>
        </w:rPr>
        <w:t xml:space="preserve"> → implícitamente se cumple con Azure Service Bus, Cosmos y APIM </w:t>
      </w:r>
      <w:r w:rsidRPr="003B02D7">
        <w:rPr>
          <w:rFonts w:ascii="Segoe UI Emoji" w:hAnsi="Segoe UI Emoji" w:cs="Segoe UI Emoji"/>
          <w:lang w:val="es-EC"/>
        </w:rPr>
        <w:t>✔️</w:t>
      </w:r>
    </w:p>
    <w:p w14:paraId="488C40AC" w14:textId="5DEA04DB" w:rsidR="00084A9B" w:rsidRDefault="00AB4220" w:rsidP="006B6D68">
      <w:pPr>
        <w:rPr>
          <w:lang w:val="es-EC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DFBC603" wp14:editId="2A191DB8">
            <wp:simplePos x="0" y="0"/>
            <wp:positionH relativeFrom="column">
              <wp:posOffset>-717550</wp:posOffset>
            </wp:positionH>
            <wp:positionV relativeFrom="paragraph">
              <wp:posOffset>0</wp:posOffset>
            </wp:positionV>
            <wp:extent cx="7435850" cy="3066415"/>
            <wp:effectExtent l="0" t="0" r="0" b="635"/>
            <wp:wrapTight wrapText="bothSides">
              <wp:wrapPolygon edited="0">
                <wp:start x="18649" y="0"/>
                <wp:lineTo x="6032" y="671"/>
                <wp:lineTo x="775" y="1342"/>
                <wp:lineTo x="775" y="2281"/>
                <wp:lineTo x="332" y="3489"/>
                <wp:lineTo x="221" y="3891"/>
                <wp:lineTo x="221" y="4428"/>
                <wp:lineTo x="0" y="4831"/>
                <wp:lineTo x="0" y="5502"/>
                <wp:lineTo x="3818" y="6575"/>
                <wp:lineTo x="2380" y="6844"/>
                <wp:lineTo x="719" y="7917"/>
                <wp:lineTo x="719" y="8722"/>
                <wp:lineTo x="221" y="8722"/>
                <wp:lineTo x="111" y="9125"/>
                <wp:lineTo x="111" y="12077"/>
                <wp:lineTo x="5423" y="13016"/>
                <wp:lineTo x="11676" y="13016"/>
                <wp:lineTo x="12451" y="15163"/>
                <wp:lineTo x="13004" y="17310"/>
                <wp:lineTo x="16878" y="19457"/>
                <wp:lineTo x="17044" y="20397"/>
                <wp:lineTo x="17985" y="21336"/>
                <wp:lineTo x="18870" y="21470"/>
                <wp:lineTo x="19423" y="21470"/>
                <wp:lineTo x="19645" y="21336"/>
                <wp:lineTo x="20918" y="19726"/>
                <wp:lineTo x="21526" y="19457"/>
                <wp:lineTo x="21526" y="16774"/>
                <wp:lineTo x="19313" y="15163"/>
                <wp:lineTo x="19589" y="13016"/>
                <wp:lineTo x="20641" y="10869"/>
                <wp:lineTo x="20585" y="8722"/>
                <wp:lineTo x="19700" y="6575"/>
                <wp:lineTo x="19423" y="4428"/>
                <wp:lineTo x="19755" y="3623"/>
                <wp:lineTo x="19589" y="3221"/>
                <wp:lineTo x="18649" y="2281"/>
                <wp:lineTo x="19423" y="2281"/>
                <wp:lineTo x="19700" y="1610"/>
                <wp:lineTo x="19645" y="0"/>
                <wp:lineTo x="18649" y="0"/>
              </wp:wrapPolygon>
            </wp:wrapTight>
            <wp:docPr id="1278585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463DD" w14:textId="77777777" w:rsidR="00D05E27" w:rsidRDefault="00D05E27" w:rsidP="006B6D68">
      <w:pPr>
        <w:rPr>
          <w:lang w:val="es-EC"/>
        </w:rPr>
      </w:pPr>
    </w:p>
    <w:p w14:paraId="4ACA0FCC" w14:textId="77777777" w:rsidR="00D05E27" w:rsidRDefault="00D05E27" w:rsidP="006B6D68">
      <w:pPr>
        <w:rPr>
          <w:lang w:val="es-EC"/>
        </w:rPr>
      </w:pPr>
    </w:p>
    <w:p w14:paraId="010813AC" w14:textId="77777777" w:rsidR="00D05E27" w:rsidRDefault="00D05E27" w:rsidP="006B6D68">
      <w:pPr>
        <w:rPr>
          <w:lang w:val="es-EC"/>
        </w:rPr>
      </w:pPr>
    </w:p>
    <w:p w14:paraId="772B4F8B" w14:textId="13BBBF50" w:rsidR="006B6D68" w:rsidRDefault="006B6D68" w:rsidP="006B6D68">
      <w:pPr>
        <w:pStyle w:val="Heading1"/>
      </w:pPr>
      <w:r>
        <w:t>4. Diagrama de Componentes (C3)</w:t>
      </w:r>
    </w:p>
    <w:p w14:paraId="53976FB8" w14:textId="77777777" w:rsidR="006B6D68" w:rsidRDefault="006B6D68" w:rsidP="006B6D68">
      <w:r>
        <w:t>Ejemplo: Transfers Service</w:t>
      </w:r>
      <w:r>
        <w:br/>
      </w:r>
      <w:r>
        <w:br/>
        <w:t>- API Controller (REST) / gRPC Endpoint</w:t>
      </w:r>
      <w:r>
        <w:br/>
        <w:t>- Application Layer: Transfer Orchestrator (Saga), Idempotency Filter, Validations</w:t>
      </w:r>
      <w:r>
        <w:br/>
        <w:t>- Domain Layer: Entities (Account, Transfer, Beneficiary), Policies (límites, horarios)</w:t>
      </w:r>
      <w:r>
        <w:br/>
        <w:t>- Integration: CoreBankingClient, InterbankSwitchClient, NotificationsClient</w:t>
      </w:r>
      <w:r>
        <w:br/>
        <w:t>- Resiliencia: Polly</w:t>
      </w:r>
      <w:r>
        <w:br/>
        <w:t>- Outbox/Inbox, AuditPublisher</w:t>
      </w:r>
      <w:r>
        <w:br/>
        <w:t>- Storage: SQL y Cosmos</w:t>
      </w:r>
      <w:r>
        <w:br/>
        <w:t>- Seguridad: JWT, Roles/Scopes/ABAC</w:t>
      </w:r>
    </w:p>
    <w:p w14:paraId="0EC47763" w14:textId="61FBA31F" w:rsidR="00A55FE2" w:rsidRDefault="00A55FE2" w:rsidP="006B6D68">
      <w:r>
        <w:rPr>
          <w:noProof/>
        </w:rPr>
        <w:lastRenderedPageBreak/>
        <w:drawing>
          <wp:inline distT="0" distB="0" distL="0" distR="0" wp14:anchorId="6DDA45C3" wp14:editId="54DDE4B0">
            <wp:extent cx="5943600" cy="3351530"/>
            <wp:effectExtent l="0" t="0" r="0" b="1270"/>
            <wp:docPr id="1729105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5D928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5. Flujos Clave</w:t>
      </w:r>
    </w:p>
    <w:p w14:paraId="3C88C247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Autenticación</w:t>
      </w:r>
    </w:p>
    <w:p w14:paraId="6591E340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Authorization Code + PKCE</w:t>
      </w:r>
      <w:r w:rsidRPr="006B6D68">
        <w:rPr>
          <w:lang w:val="es-EC"/>
        </w:rPr>
        <w:br/>
        <w:t>- Client Credentials para servicios internos</w:t>
      </w:r>
    </w:p>
    <w:p w14:paraId="28C7F6B4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Onboarding con biometría</w:t>
      </w:r>
    </w:p>
    <w:p w14:paraId="1A5012D0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1. Captura rostro + liveness</w:t>
      </w:r>
      <w:r w:rsidRPr="006B6D68">
        <w:rPr>
          <w:lang w:val="es-EC"/>
        </w:rPr>
        <w:br/>
        <w:t>2. Validación con proveedor biométrico</w:t>
      </w:r>
      <w:r w:rsidRPr="006B6D68">
        <w:rPr>
          <w:lang w:val="es-EC"/>
        </w:rPr>
        <w:br/>
        <w:t>3. Alta en Entra ID B2C</w:t>
      </w:r>
      <w:r w:rsidRPr="006B6D68">
        <w:rPr>
          <w:lang w:val="es-EC"/>
        </w:rPr>
        <w:br/>
        <w:t>4. Registro en SQL Ledger y Blob</w:t>
      </w:r>
    </w:p>
    <w:p w14:paraId="0CEE6A9D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Consulta de movimientos</w:t>
      </w:r>
    </w:p>
    <w:p w14:paraId="317CD397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BFF → Movements Query → Cosmos DB (read model)</w:t>
      </w:r>
    </w:p>
    <w:p w14:paraId="1CCE176F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Transferencias</w:t>
      </w:r>
    </w:p>
    <w:p w14:paraId="2965AD0E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SPA/App → APIM → Transfers Service → Core → Switch → Notificaciones</w:t>
      </w:r>
    </w:p>
    <w:p w14:paraId="3CACC09C" w14:textId="77777777" w:rsidR="006B6D68" w:rsidRPr="006B6D68" w:rsidRDefault="006B6D68" w:rsidP="006B6D68">
      <w:pPr>
        <w:pStyle w:val="Heading2"/>
        <w:rPr>
          <w:lang w:val="es-EC"/>
        </w:rPr>
      </w:pPr>
      <w:r w:rsidRPr="006B6D68">
        <w:rPr>
          <w:lang w:val="es-EC"/>
        </w:rPr>
        <w:t>Notificaciones</w:t>
      </w:r>
    </w:p>
    <w:p w14:paraId="4A66084C" w14:textId="77777777" w:rsidR="006B6D68" w:rsidRDefault="006B6D68" w:rsidP="006B6D68">
      <w:r>
        <w:t>- Email: Graph</w:t>
      </w:r>
      <w:r>
        <w:br/>
        <w:t>- SMS: ACS/Twilio</w:t>
      </w:r>
      <w:r>
        <w:br/>
        <w:t>- Push: Notification Hubs</w:t>
      </w:r>
    </w:p>
    <w:p w14:paraId="47592D77" w14:textId="77777777" w:rsidR="006B6D68" w:rsidRDefault="006B6D68" w:rsidP="006B6D68">
      <w:pPr>
        <w:pStyle w:val="Heading2"/>
      </w:pPr>
      <w:r>
        <w:lastRenderedPageBreak/>
        <w:t>Auditoría</w:t>
      </w:r>
    </w:p>
    <w:p w14:paraId="4332109D" w14:textId="77777777" w:rsidR="006B6D68" w:rsidRDefault="006B6D68" w:rsidP="006B6D68">
      <w:r>
        <w:t>Eventos en Service Bus → SQL Ledger + Event Hub/Sentinel</w:t>
      </w:r>
    </w:p>
    <w:p w14:paraId="72B41D77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6. Patrones y Justificaciones</w:t>
      </w:r>
    </w:p>
    <w:p w14:paraId="02DB548C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Microservicios + APIM: escalado independiente, gobernanza centralizada</w:t>
      </w:r>
      <w:r w:rsidRPr="006B6D68">
        <w:rPr>
          <w:lang w:val="es-EC"/>
        </w:rPr>
        <w:br/>
        <w:t>- CQRS + Read Models: baja latencia, separación de lectura/escritura</w:t>
      </w:r>
      <w:r w:rsidRPr="006B6D68">
        <w:rPr>
          <w:lang w:val="es-EC"/>
        </w:rPr>
        <w:br/>
        <w:t>- Service Bus: desacoplamiento, reintentos, DLQ</w:t>
      </w:r>
      <w:r w:rsidRPr="006B6D68">
        <w:rPr>
          <w:lang w:val="es-EC"/>
        </w:rPr>
        <w:br/>
        <w:t>- Outbox/Inbox + Idempotency: consistencia, trazabilidad</w:t>
      </w:r>
      <w:r w:rsidRPr="006B6D68">
        <w:rPr>
          <w:lang w:val="es-EC"/>
        </w:rPr>
        <w:br/>
        <w:t>- OAuth2/OIDC con PKCE: seguridad clientes públicos</w:t>
      </w:r>
      <w:r w:rsidRPr="006B6D68">
        <w:rPr>
          <w:lang w:val="es-EC"/>
        </w:rPr>
        <w:br/>
        <w:t>- Container Apps: serverless, autoscale, bajo costo</w:t>
      </w:r>
    </w:p>
    <w:p w14:paraId="33472B25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7. Normativa y Seguridad</w:t>
      </w:r>
    </w:p>
    <w:p w14:paraId="4C4EEB55" w14:textId="77777777" w:rsidR="006B6D68" w:rsidRPr="006B6D68" w:rsidRDefault="006B6D68" w:rsidP="006B6D68">
      <w:pPr>
        <w:rPr>
          <w:lang w:val="es-EC"/>
        </w:rPr>
      </w:pPr>
      <w:r w:rsidRPr="006B6D68">
        <w:rPr>
          <w:lang w:val="es-EC"/>
        </w:rPr>
        <w:t>- LOPDP, GDPR</w:t>
      </w:r>
      <w:r w:rsidRPr="006B6D68">
        <w:rPr>
          <w:lang w:val="es-EC"/>
        </w:rPr>
        <w:br/>
        <w:t>- MFA, OAuth2/OIDC PKCE</w:t>
      </w:r>
      <w:r w:rsidRPr="006B6D68">
        <w:rPr>
          <w:lang w:val="es-EC"/>
        </w:rPr>
        <w:br/>
        <w:t>- TLS 1.2+, TDE, SSE</w:t>
      </w:r>
      <w:r w:rsidRPr="006B6D68">
        <w:rPr>
          <w:lang w:val="es-EC"/>
        </w:rPr>
        <w:br/>
        <w:t>- APIM policies, scopes, subscription key</w:t>
      </w:r>
      <w:r w:rsidRPr="006B6D68">
        <w:rPr>
          <w:lang w:val="es-EC"/>
        </w:rPr>
        <w:br/>
        <w:t>- Private Link, NSG, DDoS Protection</w:t>
      </w:r>
      <w:r w:rsidRPr="006B6D68">
        <w:rPr>
          <w:lang w:val="es-EC"/>
        </w:rPr>
        <w:br/>
        <w:t>- SQL Ledger, retención, mascaramiento PII</w:t>
      </w:r>
      <w:r w:rsidRPr="006B6D68">
        <w:rPr>
          <w:lang w:val="es-EC"/>
        </w:rPr>
        <w:br/>
        <w:t>- ISO 27001, NIST, OWASP ASVS</w:t>
      </w:r>
    </w:p>
    <w:p w14:paraId="0AA6F1E6" w14:textId="77777777" w:rsidR="006B6D68" w:rsidRPr="006B6D68" w:rsidRDefault="006B6D68" w:rsidP="006B6D68">
      <w:pPr>
        <w:pStyle w:val="Heading1"/>
        <w:rPr>
          <w:lang w:val="es-EC"/>
        </w:rPr>
      </w:pPr>
      <w:r w:rsidRPr="006B6D68">
        <w:rPr>
          <w:lang w:val="es-EC"/>
        </w:rPr>
        <w:t>8. Alta Disponibilidad, DR, Monitoreo y Costos</w:t>
      </w:r>
    </w:p>
    <w:p w14:paraId="419ACC1D" w14:textId="77777777" w:rsidR="006B6D68" w:rsidRDefault="006B6D68" w:rsidP="006B6D68">
      <w:r>
        <w:t>- HA: Front Door, Container Apps, Cosmos multi-region, SQL geo-replication</w:t>
      </w:r>
      <w:r>
        <w:br/>
        <w:t>- DR: RPO ≤ 5 min, RTO ≤ 30 min</w:t>
      </w:r>
      <w:r>
        <w:br/>
        <w:t>- Monitoreo: App Insights, Log Analytics</w:t>
      </w:r>
      <w:r>
        <w:br/>
        <w:t>- Costos: serverless per-use, autoscale, budgets Azure Advisor</w:t>
      </w:r>
    </w:p>
    <w:p w14:paraId="6A9539EB" w14:textId="77777777" w:rsidR="006B6D68" w:rsidRDefault="006B6D68" w:rsidP="006B6D68">
      <w:pPr>
        <w:pStyle w:val="Heading1"/>
      </w:pPr>
      <w:r>
        <w:t>9. Texto guía para draw.io</w:t>
      </w:r>
    </w:p>
    <w:p w14:paraId="79DBCDD9" w14:textId="77777777" w:rsidR="006B6D68" w:rsidRDefault="006B6D68" w:rsidP="006B6D68">
      <w:r>
        <w:t>Contexto: Usuarios → Front Door → APIM → Microservicios → Core/Sistema Detalle Cliente/Switch/Notificaciones/Biométrico</w:t>
      </w:r>
      <w:r>
        <w:br/>
        <w:t>Contenedores: SPA, Mobile, Front Door, APIM, Services, Service Bus, SQL, Cosmos, Blob, Key Vault, App Insights</w:t>
      </w:r>
      <w:r>
        <w:br/>
        <w:t>Componentes: Transfers Service → API Controller, Orchestrator, Entities, Integration, Polly, Outbox, AuditPublisher</w:t>
      </w:r>
    </w:p>
    <w:p w14:paraId="43A8FC0C" w14:textId="77777777" w:rsidR="006B6D68" w:rsidRPr="006B6D68" w:rsidRDefault="006B6D68"/>
    <w:sectPr w:rsidR="006B6D68" w:rsidRPr="006B6D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9475D8"/>
    <w:multiLevelType w:val="hybridMultilevel"/>
    <w:tmpl w:val="008A30A0"/>
    <w:lvl w:ilvl="0" w:tplc="A744693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849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D68"/>
    <w:rsid w:val="00084A9B"/>
    <w:rsid w:val="00225A52"/>
    <w:rsid w:val="003B02D7"/>
    <w:rsid w:val="006B6D68"/>
    <w:rsid w:val="007A7F5C"/>
    <w:rsid w:val="00A55FE2"/>
    <w:rsid w:val="00AB4220"/>
    <w:rsid w:val="00AF781B"/>
    <w:rsid w:val="00D05E27"/>
    <w:rsid w:val="00DB1AA1"/>
    <w:rsid w:val="00F211BF"/>
    <w:rsid w:val="00FD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9080E"/>
  <w15:chartTrackingRefBased/>
  <w15:docId w15:val="{EFF1AFEE-D90E-47AA-B344-C4B26C604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D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D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D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D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D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D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D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D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D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D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D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D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D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D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D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D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D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D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D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D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D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D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D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D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D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D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D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D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D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6</Pages>
  <Words>812</Words>
  <Characters>4466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 Pacheco</dc:creator>
  <cp:keywords/>
  <dc:description/>
  <cp:lastModifiedBy>Jenny Pacheco</cp:lastModifiedBy>
  <cp:revision>9</cp:revision>
  <dcterms:created xsi:type="dcterms:W3CDTF">2025-09-03T01:01:00Z</dcterms:created>
  <dcterms:modified xsi:type="dcterms:W3CDTF">2025-09-05T13:54:00Z</dcterms:modified>
</cp:coreProperties>
</file>