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Pr="004D686F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6"/>
      <w:r>
        <w:t>результатов обработки</w:t>
      </w:r>
      <w:commentRangeEnd w:id="16"/>
      <w:r>
        <w:rPr>
          <w:rStyle w:val="a4"/>
        </w:rPr>
        <w:commentReference w:id="16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7"/>
      <w:r>
        <w:t>(ПУ)</w:t>
      </w:r>
      <w:commentRangeEnd w:id="17"/>
      <w:r>
        <w:rPr>
          <w:rStyle w:val="a4"/>
        </w:rPr>
        <w:commentReference w:id="17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8"/>
      <w:r>
        <w:t>(ПУ)</w:t>
      </w:r>
      <w:commentRangeEnd w:id="18"/>
      <w:r>
        <w:rPr>
          <w:rStyle w:val="a4"/>
        </w:rPr>
        <w:commentReference w:id="18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0"/>
      <w:r>
        <w:t>(ПУ)</w:t>
      </w:r>
      <w:commentRangeEnd w:id="20"/>
      <w:r>
        <w:rPr>
          <w:rStyle w:val="a4"/>
        </w:rPr>
        <w:commentReference w:id="20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1"/>
      <w:r>
        <w:t>ПУ</w:t>
      </w:r>
      <w:commentRangeEnd w:id="21"/>
      <w:r>
        <w:rPr>
          <w:rStyle w:val="a4"/>
        </w:rPr>
        <w:commentReference w:id="21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lastRenderedPageBreak/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2"/>
      <w:r>
        <w:t>(ПУ)</w:t>
      </w:r>
      <w:commentRangeEnd w:id="22"/>
      <w:r>
        <w:rPr>
          <w:rStyle w:val="a4"/>
        </w:rPr>
        <w:commentReference w:id="22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3"/>
      <w:r>
        <w:t>(ПУ)</w:t>
      </w:r>
      <w:commentRangeEnd w:id="23"/>
      <w:r>
        <w:rPr>
          <w:rStyle w:val="a4"/>
        </w:rPr>
        <w:commentReference w:id="23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24"/>
      <w:r>
        <w:t>Получение сигнала об уходе температуры измеряемого образца</w:t>
      </w:r>
      <w:commentRangeEnd w:id="24"/>
      <w:r>
        <w:rPr>
          <w:rStyle w:val="a4"/>
        </w:rPr>
        <w:commentReference w:id="24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25"/>
      <w:r w:rsidR="00F3261C">
        <w:t>ПД</w:t>
      </w:r>
      <w:commentRangeEnd w:id="25"/>
      <w:r w:rsidR="00F3261C">
        <w:rPr>
          <w:rStyle w:val="a4"/>
        </w:rPr>
        <w:commentReference w:id="25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26"/>
      <w:r>
        <w:t>ПУ</w:t>
      </w:r>
      <w:commentRangeEnd w:id="26"/>
      <w:r>
        <w:rPr>
          <w:rStyle w:val="a4"/>
        </w:rPr>
        <w:commentReference w:id="26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27"/>
      <w:r w:rsidR="009B242C">
        <w:t>(ПУ)</w:t>
      </w:r>
      <w:commentRangeEnd w:id="27"/>
      <w:r w:rsidR="009B242C">
        <w:rPr>
          <w:rStyle w:val="a4"/>
        </w:rPr>
        <w:commentReference w:id="27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28"/>
      <w:r w:rsidR="009B242C">
        <w:t>(ПУ)</w:t>
      </w:r>
      <w:commentRangeEnd w:id="28"/>
      <w:r w:rsidR="009B242C">
        <w:rPr>
          <w:rStyle w:val="a4"/>
        </w:rPr>
        <w:commentReference w:id="28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29"/>
      <w:r w:rsidR="009B242C">
        <w:t>ПД</w:t>
      </w:r>
      <w:commentRangeEnd w:id="29"/>
      <w:r w:rsidR="009B242C">
        <w:rPr>
          <w:rStyle w:val="a4"/>
        </w:rPr>
        <w:commentReference w:id="29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0"/>
      <w:r w:rsidR="009B242C">
        <w:t>ПУ</w:t>
      </w:r>
      <w:commentRangeEnd w:id="30"/>
      <w:r w:rsidR="009B242C">
        <w:rPr>
          <w:rStyle w:val="a4"/>
        </w:rPr>
        <w:commentReference w:id="30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1"/>
      <w:proofErr w:type="spellStart"/>
      <w:r>
        <w:t>ПВнеш</w:t>
      </w:r>
      <w:commentRangeEnd w:id="31"/>
      <w:proofErr w:type="spellEnd"/>
      <w:r>
        <w:rPr>
          <w:rStyle w:val="a4"/>
        </w:rPr>
        <w:commentReference w:id="31"/>
      </w:r>
      <w:r>
        <w:t>)--&gt;ВУ--(</w:t>
      </w:r>
      <w:commentRangeStart w:id="32"/>
      <w:proofErr w:type="spellStart"/>
      <w:r>
        <w:t>ПВнеш</w:t>
      </w:r>
      <w:commentRangeEnd w:id="32"/>
      <w:proofErr w:type="spellEnd"/>
      <w:r w:rsidR="00890096">
        <w:rPr>
          <w:rStyle w:val="a4"/>
        </w:rPr>
        <w:commentReference w:id="32"/>
      </w:r>
      <w:r>
        <w:t>)--&gt;Внешний клиент</w:t>
      </w:r>
    </w:p>
    <w:p w:rsidR="003B7EBD" w:rsidRPr="00720B70" w:rsidRDefault="003B7EBD" w:rsidP="003B7EBD">
      <w:pPr>
        <w:jc w:val="both"/>
      </w:pPr>
    </w:p>
    <w:sectPr w:rsidR="003B7EBD" w:rsidRPr="00720B70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7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8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9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2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3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4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25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26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7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8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9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0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1" w:author="std_string" w:date="2016-09-23T00:06:00Z" w:initials="s">
    <w:p w:rsidR="00AD0828" w:rsidRPr="00890096" w:rsidRDefault="00AD0828">
      <w:pPr>
        <w:pStyle w:val="a5"/>
        <w:rPr>
          <w:lang w:val="en-US"/>
        </w:rPr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2" w:author="std_string" w:date="2016-09-23T00:07:00Z" w:initials="s">
    <w:p w:rsidR="00890096" w:rsidRPr="00890096" w:rsidRDefault="00890096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0777"/>
    <w:multiLevelType w:val="hybridMultilevel"/>
    <w:tmpl w:val="2E84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82C9E"/>
    <w:rsid w:val="000958BE"/>
    <w:rsid w:val="000F031E"/>
    <w:rsid w:val="00145DCC"/>
    <w:rsid w:val="00240305"/>
    <w:rsid w:val="00277FC2"/>
    <w:rsid w:val="002E1CF9"/>
    <w:rsid w:val="0032102C"/>
    <w:rsid w:val="00327D91"/>
    <w:rsid w:val="003A1E4C"/>
    <w:rsid w:val="003B7EBD"/>
    <w:rsid w:val="003C3AEA"/>
    <w:rsid w:val="003D4E59"/>
    <w:rsid w:val="00401561"/>
    <w:rsid w:val="004309B0"/>
    <w:rsid w:val="0047191D"/>
    <w:rsid w:val="00482796"/>
    <w:rsid w:val="004B0793"/>
    <w:rsid w:val="004C7B10"/>
    <w:rsid w:val="004D686F"/>
    <w:rsid w:val="004E39B5"/>
    <w:rsid w:val="0052284B"/>
    <w:rsid w:val="00651201"/>
    <w:rsid w:val="00652541"/>
    <w:rsid w:val="0065329F"/>
    <w:rsid w:val="00684C59"/>
    <w:rsid w:val="006C337E"/>
    <w:rsid w:val="006F6266"/>
    <w:rsid w:val="00720B70"/>
    <w:rsid w:val="007C5F79"/>
    <w:rsid w:val="00801B7B"/>
    <w:rsid w:val="0082290E"/>
    <w:rsid w:val="00854866"/>
    <w:rsid w:val="0087784F"/>
    <w:rsid w:val="00890096"/>
    <w:rsid w:val="00901BB1"/>
    <w:rsid w:val="00933FB7"/>
    <w:rsid w:val="00964BE8"/>
    <w:rsid w:val="0099668C"/>
    <w:rsid w:val="009B242C"/>
    <w:rsid w:val="009F2182"/>
    <w:rsid w:val="009F228B"/>
    <w:rsid w:val="00A2742A"/>
    <w:rsid w:val="00A35F80"/>
    <w:rsid w:val="00A86587"/>
    <w:rsid w:val="00AD0828"/>
    <w:rsid w:val="00AD17AE"/>
    <w:rsid w:val="00B20E66"/>
    <w:rsid w:val="00B35075"/>
    <w:rsid w:val="00BD6266"/>
    <w:rsid w:val="00C21993"/>
    <w:rsid w:val="00D40E19"/>
    <w:rsid w:val="00D524FB"/>
    <w:rsid w:val="00E46AA5"/>
    <w:rsid w:val="00E949A3"/>
    <w:rsid w:val="00ED6DB7"/>
    <w:rsid w:val="00EE5968"/>
    <w:rsid w:val="00F21547"/>
    <w:rsid w:val="00F3261C"/>
    <w:rsid w:val="00F3422F"/>
    <w:rsid w:val="00FA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CC5C1-C8CB-4811-BB6F-E6030C98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20</cp:revision>
  <dcterms:created xsi:type="dcterms:W3CDTF">2016-09-02T15:59:00Z</dcterms:created>
  <dcterms:modified xsi:type="dcterms:W3CDTF">2016-09-25T15:09:00Z</dcterms:modified>
</cp:coreProperties>
</file>