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t xml:space="preserve">Архитектура </w:t>
      </w:r>
      <w:r>
        <w:rPr>
          <w:i/>
          <w:iCs/>
          <w:sz w:val="28"/>
          <w:szCs w:val="28"/>
          <w:lang w:val="en-US"/>
        </w:rPr>
        <w:t>CLI</w:t>
      </w:r>
    </w:p>
    <w:p>
      <w:pPr>
        <w:pStyle w:val="style0"/>
        <w:rPr/>
      </w:pPr>
      <w:r>
        <w:rPr/>
      </w:r>
    </w:p>
    <w:p>
      <w:pPr>
        <w:pStyle w:val="style0"/>
        <w:jc w:val="center"/>
        <w:rPr/>
      </w:pPr>
      <w:r>
        <w:rPr/>
        <w:t>Протокол взаимодействия с терминальным клиентом.</w:t>
      </w:r>
    </w:p>
    <w:p>
      <w:pPr>
        <w:pStyle w:val="style0"/>
        <w:jc w:val="both"/>
        <w:rPr/>
      </w:pPr>
      <w:r>
        <w:rPr/>
      </w:r>
    </w:p>
    <w:p>
      <w:pPr>
        <w:pStyle w:val="style0"/>
        <w:jc w:val="both"/>
        <w:rPr/>
      </w:pPr>
      <w:r>
        <w:rPr/>
        <w:tab/>
      </w:r>
      <w:r>
        <w:rPr/>
        <w:t xml:space="preserve">Терминальный клиент взаимодействует с frontend — частью сервиса. Сообщения, которыми обмениваются терминальный клиент и frontend-часть являются обычными объектами языка Erlang. На стороне fronten-части для сериализации используется функция </w:t>
      </w:r>
      <w:r>
        <w:rPr>
          <w:b/>
          <w:bCs/>
        </w:rPr>
        <w:t>term_to_binary/1</w:t>
      </w:r>
      <w:r>
        <w:rPr/>
        <w:t xml:space="preserve">, а для десериализации — функция </w:t>
      </w:r>
      <w:r>
        <w:rPr>
          <w:b/>
          <w:bCs/>
        </w:rPr>
        <w:t>binary_to_term/1</w:t>
      </w:r>
      <w:r>
        <w:rPr/>
        <w:t>. На стороне терминального клиента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  <w:contextualSpacing w:val="false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2014-07-17T17:26:03Z</dcterms:created>
  <dc:creator>stdstring </dc:creator>
  <cp:revision>0</cp:revision>
</cp:coreProperties>
</file>