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Лексический анализ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Letter</w:t>
      </w:r>
      <w:r>
        <w:rPr/>
        <w:t xml:space="preserve"> =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  <w:r>
        <w:rPr/>
        <w:t xml:space="preserve"> |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Digit</w:t>
      </w:r>
      <w:r>
        <w:rPr/>
        <w:t xml:space="preserve"> = </w:t>
      </w:r>
      <w:r>
        <w:rPr>
          <w:b/>
          <w:bCs/>
        </w:rPr>
        <w:t>0</w:t>
      </w:r>
      <w:r>
        <w:rPr/>
        <w:t xml:space="preserve"> | … | </w:t>
      </w:r>
      <w:r>
        <w:rPr>
          <w:b/>
          <w:bCs/>
        </w:rPr>
        <w:t>9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WordCharacter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| </w:t>
      </w:r>
      <w:r>
        <w:rPr>
          <w:i/>
          <w:iCs/>
        </w:rPr>
        <w:t>Digit</w:t>
      </w:r>
      <w:r>
        <w:rPr/>
        <w:t xml:space="preserve"> | </w:t>
      </w:r>
      <w:r>
        <w:rPr>
          <w:b/>
          <w:bCs/>
        </w:rPr>
        <w:t>'_'</w:t>
      </w:r>
      <w:r>
        <w:rPr/>
        <w:t xml:space="preserve"> | </w:t>
      </w:r>
      <w:r>
        <w:rPr>
          <w:b/>
          <w:bCs/>
        </w:rPr>
        <w:t>'-'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'.'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','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'?'</w:t>
      </w:r>
    </w:p>
    <w:p>
      <w:pPr>
        <w:pStyle w:val="Normal"/>
        <w:jc w:val="both"/>
        <w:rPr/>
      </w:pPr>
      <w:r>
        <w:rPr>
          <w:i/>
          <w:iCs/>
        </w:rPr>
        <w:t>Word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{</w:t>
      </w:r>
      <w:r>
        <w:rPr>
          <w:i/>
          <w:iCs/>
        </w:rPr>
        <w:t>WordCharacter</w:t>
      </w:r>
      <w:r>
        <w:rPr/>
        <w:t>}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b w:val="false"/>
          <w:bCs w:val="false"/>
          <w:i/>
          <w:iCs/>
        </w:rPr>
        <w:t>Letter</w:t>
      </w:r>
      <w:r>
        <w:rPr>
          <w:i/>
          <w:iCs/>
        </w:rPr>
        <w:t>Char</w:t>
      </w:r>
      <w:r>
        <w:rPr/>
        <w:t xml:space="preserve"> = </w:t>
      </w:r>
      <w:r>
        <w:rPr>
          <w:b/>
          <w:bCs/>
        </w:rPr>
        <w:t xml:space="preserve">любой символ кроме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i/>
          <w:iCs/>
        </w:rPr>
        <w:t>String</w:t>
      </w:r>
      <w:r>
        <w:rPr/>
        <w:t xml:space="preserve"> = </w:t>
      </w:r>
      <w:r>
        <w:rPr>
          <w:b/>
          <w:bCs/>
          <w:color w:val="000000"/>
        </w:rPr>
        <w:t>'"'</w:t>
      </w:r>
      <w:r>
        <w:rPr>
          <w:b w:val="false"/>
          <w:bCs w:val="false"/>
          <w:color w:val="000000"/>
        </w:rPr>
        <w:t xml:space="preserve"> {</w:t>
      </w:r>
      <w:r>
        <w:rPr>
          <w:b w:val="false"/>
          <w:bCs w:val="false"/>
          <w:i/>
          <w:iCs/>
          <w:color w:val="000000"/>
        </w:rPr>
        <w:t xml:space="preserve">LetterChar | </w:t>
      </w:r>
      <w:bookmarkStart w:id="0" w:name="__DdeLink__242_874752077"/>
      <w:r>
        <w:rPr>
          <w:b/>
          <w:bCs/>
          <w:i w:val="false"/>
          <w:iCs w:val="false"/>
          <w:color w:val="000000"/>
        </w:rPr>
        <w:t>'\"'</w:t>
      </w:r>
      <w:bookmarkEnd w:id="0"/>
      <w:r>
        <w:rPr>
          <w:b w:val="false"/>
          <w:bCs w:val="false"/>
          <w:i w:val="false"/>
          <w:iCs w:val="false"/>
          <w:color w:val="000000"/>
        </w:rPr>
        <w:t xml:space="preserve"> | </w:t>
      </w:r>
      <w:r>
        <w:rPr>
          <w:b/>
          <w:bCs/>
          <w:i w:val="false"/>
          <w:iCs w:val="false"/>
          <w:color w:val="000000"/>
        </w:rPr>
        <w:t>'\\'</w:t>
      </w:r>
      <w:r>
        <w:rPr>
          <w:b w:val="false"/>
          <w:bCs w:val="false"/>
          <w:color w:val="000000"/>
        </w:rPr>
        <w:t xml:space="preserve">}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i/>
          <w:iCs/>
          <w:color w:val="000000"/>
        </w:rPr>
        <w:t>Command</w:t>
      </w:r>
      <w:r>
        <w:rPr>
          <w:b w:val="false"/>
          <w:bCs w:val="false"/>
          <w:color w:val="000000"/>
        </w:rPr>
        <w:t xml:space="preserve"> = 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{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| </w:t>
      </w:r>
      <w:r>
        <w:rPr>
          <w:b/>
          <w:bCs/>
          <w:color w:val="000000"/>
        </w:rPr>
        <w:t>String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Правила разбора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1) При помощи синтаксического анализа мы разбираем ввод пользователя.</w:t>
      </w:r>
    </w:p>
    <w:p>
      <w:pPr>
        <w:pStyle w:val="Normal"/>
        <w:jc w:val="both"/>
        <w:rPr/>
      </w:pPr>
      <w:r>
        <w:rPr/>
        <w:t xml:space="preserve">2) Для всех команд, определенных в системе мы строим таблицу </w:t>
      </w:r>
      <w:bookmarkStart w:id="1" w:name="__DdeLink__1870_2097074821"/>
      <w:r>
        <w:rPr/>
        <w:t>для распознавания команд.</w:t>
      </w:r>
      <w:bookmarkEnd w:id="1"/>
      <w:r>
        <w:rPr/>
        <w:t xml:space="preserve"> Каждый элемент этой таблицы представляет список пар: слово, длина префикса, уникально идентифицирующего данное слово (относительно предыдущих слов). Эта таблица сортируется по количеству слов в элементе в порядке убывания (при этом порядок элементов с одинаковым количеством слов не важен).</w:t>
      </w:r>
    </w:p>
    <w:p>
      <w:pPr>
        <w:pStyle w:val="Normal"/>
        <w:jc w:val="both"/>
        <w:rPr/>
      </w:pPr>
      <w:r>
        <w:rPr/>
        <w:t xml:space="preserve">3) После разбора команды при помощи синтаксического анализа мы ищем для этой команды соответствующий элемент в таблице. При поиске в таблице мы ищем максимально возможное соответствие. Так, например, для ввода пользователя </w:t>
      </w:r>
      <w:r>
        <w:rPr>
          <w:b/>
          <w:bCs/>
          <w:color w:val="000000"/>
        </w:rPr>
        <w:t>"interface range XXX"</w:t>
      </w:r>
      <w:r>
        <w:rPr>
          <w:b w:val="false"/>
          <w:bCs w:val="false"/>
          <w:color w:val="000000"/>
        </w:rPr>
        <w:t xml:space="preserve"> будет найдено соответствие </w:t>
      </w:r>
      <w:bookmarkStart w:id="2" w:name="__DdeLink__236_1913469347"/>
      <w:r>
        <w:rPr>
          <w:b/>
          <w:bCs/>
          <w:color w:val="000000"/>
        </w:rPr>
        <w:t>"interface range"</w:t>
      </w:r>
      <w:bookmarkEnd w:id="2"/>
      <w:r>
        <w:rPr>
          <w:b w:val="false"/>
          <w:bCs w:val="false"/>
          <w:color w:val="000000"/>
        </w:rPr>
        <w:t xml:space="preserve">, а не </w:t>
      </w:r>
      <w:r>
        <w:rPr>
          <w:b/>
          <w:bCs/>
          <w:color w:val="000000"/>
        </w:rPr>
        <w:t>"interface"</w:t>
      </w:r>
      <w:r>
        <w:rPr>
          <w:b w:val="false"/>
          <w:bCs w:val="false"/>
          <w:color w:val="000000"/>
        </w:rPr>
        <w:t xml:space="preserve"> (при наличии команд </w:t>
      </w:r>
      <w:r>
        <w:rPr>
          <w:b/>
          <w:bCs/>
          <w:color w:val="000000"/>
        </w:rPr>
        <w:t>"interface"</w:t>
      </w:r>
      <w:r>
        <w:rPr>
          <w:b w:val="false"/>
          <w:bCs w:val="false"/>
          <w:color w:val="000000"/>
        </w:rPr>
        <w:t xml:space="preserve"> и </w:t>
      </w:r>
      <w:r>
        <w:rPr>
          <w:b/>
          <w:bCs/>
          <w:color w:val="000000"/>
        </w:rPr>
        <w:t>"interface range"</w:t>
      </w:r>
      <w:r>
        <w:rPr>
          <w:b w:val="false"/>
          <w:bCs w:val="false"/>
          <w:color w:val="000000"/>
        </w:rPr>
        <w:t xml:space="preserve"> в таблице).</w:t>
      </w:r>
      <w:r>
        <w:rPr/>
        <w:t xml:space="preserve"> При этом мы учитываем тот факт, что при сравнении соответствующих слов (из элемента и из команды) достаточно сравнивать их префиксы. Длиной сравниваемых префиксов будет соответствующая длина префикса, уникально идентифицирующего данное слово; эта длина идет вместе с каждым словом для каждого элемента из таблицы для распознавания команд.</w:t>
      </w:r>
    </w:p>
    <w:p>
      <w:pPr>
        <w:pStyle w:val="Normal"/>
        <w:jc w:val="both"/>
        <w:rPr/>
      </w:pPr>
      <w:r>
        <w:rPr/>
        <w:t>4) Остаток команды после ее распознавания считается аргументами команды и передается команде при ее выполнении. Команда может распоряжаться этими аргументами так, как считает нужным.</w:t>
      </w:r>
    </w:p>
    <w:p>
      <w:pPr>
        <w:pStyle w:val="Normal"/>
        <w:jc w:val="both"/>
        <w:rPr/>
      </w:pPr>
      <w:r>
        <w:rPr/>
        <w:t>5) Если для какой-либо команды будет не найден элемент в таблице для распознавания команд, то мы будем генерировать ошибку разбора.</w:t>
      </w:r>
    </w:p>
    <w:p>
      <w:pPr>
        <w:pStyle w:val="Normal"/>
        <w:jc w:val="both"/>
        <w:rPr/>
      </w:pPr>
      <w:r>
        <w:rPr/>
        <w:t>6) После разбора и распознавания команды мы генерируем код для ее вызова. Этот код помимо вызова самой команды с некоторыми аргументами генерирует ряд служебных вызовов, уведомляющих о завершении выполнения команды. Этот код называется контекстом выполнения команды.</w:t>
      </w:r>
    </w:p>
    <w:p>
      <w:pPr>
        <w:pStyle w:val="Normal"/>
        <w:jc w:val="both"/>
        <w:rPr/>
      </w:pPr>
      <w:r>
        <w:rPr/>
        <w:t>7) Команд</w:t>
      </w:r>
      <w:r>
        <w:rPr/>
        <w:t>а</w:t>
      </w:r>
      <w:r>
        <w:rPr/>
        <w:t xml:space="preserve"> </w:t>
      </w:r>
      <w:r>
        <w:rPr/>
        <w:t>помощи имеет один из следующих видов: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color w:val="000000"/>
        </w:rPr>
      </w:pPr>
      <w:r>
        <w:rPr>
          <w:b/>
          <w:bCs/>
          <w:color w:val="000000"/>
        </w:rPr>
        <w:t>"? [</w:t>
      </w:r>
      <w:r>
        <w:rPr>
          <w:b/>
          <w:bCs/>
          <w:color w:val="000000"/>
        </w:rPr>
        <w:t>arg</w:t>
      </w:r>
      <w:r>
        <w:rPr>
          <w:b/>
          <w:bCs w:val="false"/>
          <w:color w:val="000000"/>
          <w:vertAlign w:val="subscript"/>
        </w:rPr>
        <w:t>1</w:t>
      </w:r>
      <w:r>
        <w:rPr>
          <w:b/>
          <w:bCs/>
          <w:color w:val="000000"/>
        </w:rPr>
        <w:t xml:space="preserve"> … </w:t>
      </w:r>
      <w:r>
        <w:rPr>
          <w:b/>
          <w:bCs/>
          <w:color w:val="000000"/>
        </w:rPr>
        <w:t>arg</w:t>
      </w:r>
      <w:r>
        <w:rPr>
          <w:b/>
          <w:bCs/>
          <w:color w:val="000000"/>
          <w:vertAlign w:val="subscript"/>
        </w:rPr>
        <w:t>N</w:t>
      </w:r>
      <w:r>
        <w:rPr>
          <w:b/>
          <w:bCs/>
          <w:color w:val="000000"/>
        </w:rPr>
        <w:t>]"</w:t>
      </w:r>
      <w:r>
        <w:rPr>
          <w:b w:val="false"/>
          <w:bCs w:val="false"/>
          <w:color w:val="000000"/>
        </w:rPr>
        <w:t xml:space="preserve"> - вывод общего списка команд для </w:t>
      </w:r>
      <w:r>
        <w:rPr>
          <w:b w:val="false"/>
          <w:bCs w:val="false"/>
          <w:color w:val="000000"/>
        </w:rPr>
        <w:t>текущего</w:t>
      </w:r>
      <w:r>
        <w:rPr>
          <w:b w:val="false"/>
          <w:bCs w:val="false"/>
          <w:color w:val="000000"/>
        </w:rPr>
        <w:t xml:space="preserve"> режима работы CLI с учетом прав пользователя.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color w:val="000000"/>
        </w:rPr>
      </w:pPr>
      <w:r>
        <w:rPr>
          <w:b/>
          <w:bCs/>
          <w:color w:val="000000"/>
        </w:rPr>
        <w:t>"[word</w:t>
      </w:r>
      <w:r>
        <w:rPr>
          <w:b/>
          <w:bCs w:val="false"/>
          <w:color w:val="000000"/>
          <w:vertAlign w:val="subscript"/>
        </w:rPr>
        <w:t>1</w:t>
      </w:r>
      <w:r>
        <w:rPr>
          <w:b/>
          <w:bCs/>
          <w:color w:val="000000"/>
        </w:rPr>
        <w:t xml:space="preserve"> … word</w:t>
      </w:r>
      <w:r>
        <w:rPr>
          <w:b/>
          <w:bCs/>
          <w:color w:val="000000"/>
          <w:vertAlign w:val="subscript"/>
        </w:rPr>
        <w:t>N</w:t>
      </w:r>
      <w:r>
        <w:rPr>
          <w:b/>
          <w:bCs/>
          <w:color w:val="000000"/>
        </w:rPr>
        <w:t xml:space="preserve">] </w:t>
      </w:r>
      <w:r>
        <w:rPr>
          <w:b/>
          <w:bCs/>
          <w:color w:val="000000"/>
        </w:rPr>
        <w:t>prefix</w:t>
      </w:r>
      <w:r>
        <w:rPr>
          <w:b/>
          <w:bCs/>
          <w:color w:val="000000"/>
        </w:rPr>
        <w:t>? [</w:t>
      </w:r>
      <w:r>
        <w:rPr>
          <w:b/>
          <w:bCs/>
          <w:color w:val="000000"/>
        </w:rPr>
        <w:t>arg</w:t>
      </w:r>
      <w:r>
        <w:rPr>
          <w:b/>
          <w:bCs w:val="false"/>
          <w:color w:val="000000"/>
          <w:vertAlign w:val="subscript"/>
        </w:rPr>
        <w:t>1</w:t>
      </w:r>
      <w:r>
        <w:rPr>
          <w:b/>
          <w:bCs/>
          <w:color w:val="000000"/>
        </w:rPr>
        <w:t xml:space="preserve"> … </w:t>
      </w:r>
      <w:r>
        <w:rPr>
          <w:b/>
          <w:bCs/>
          <w:color w:val="000000"/>
        </w:rPr>
        <w:t>arg</w:t>
      </w:r>
      <w:r>
        <w:rPr>
          <w:b/>
          <w:bCs/>
          <w:color w:val="000000"/>
          <w:vertAlign w:val="subscript"/>
        </w:rPr>
        <w:t>N</w:t>
      </w:r>
      <w:r>
        <w:rPr>
          <w:b/>
          <w:bCs/>
          <w:color w:val="000000"/>
        </w:rPr>
        <w:t>]"</w:t>
      </w:r>
      <w:r>
        <w:rPr>
          <w:b w:val="false"/>
          <w:bCs w:val="false"/>
          <w:color w:val="000000"/>
        </w:rPr>
        <w:t xml:space="preserve"> — </w:t>
      </w:r>
      <w:r>
        <w:rPr>
          <w:b w:val="false"/>
          <w:bCs w:val="false"/>
          <w:color w:val="000000"/>
        </w:rPr>
        <w:t xml:space="preserve">вывод списка команд, начинающихся с префикса </w:t>
      </w:r>
      <w:r>
        <w:rPr>
          <w:b/>
          <w:bCs/>
          <w:color w:val="000000"/>
        </w:rPr>
        <w:t>[word</w:t>
      </w:r>
      <w:r>
        <w:rPr>
          <w:b/>
          <w:bCs w:val="false"/>
          <w:color w:val="000000"/>
          <w:vertAlign w:val="subscript"/>
        </w:rPr>
        <w:t>1</w:t>
      </w:r>
      <w:r>
        <w:rPr>
          <w:b/>
          <w:bCs/>
          <w:color w:val="000000"/>
        </w:rPr>
        <w:t xml:space="preserve"> … word</w:t>
      </w:r>
      <w:r>
        <w:rPr>
          <w:b/>
          <w:bCs/>
          <w:color w:val="000000"/>
          <w:vertAlign w:val="subscript"/>
        </w:rPr>
        <w:t>N</w:t>
      </w:r>
      <w:r>
        <w:rPr>
          <w:b/>
          <w:bCs/>
          <w:color w:val="000000"/>
        </w:rPr>
        <w:t xml:space="preserve">] </w:t>
      </w:r>
      <w:r>
        <w:rPr>
          <w:b/>
          <w:bCs/>
          <w:color w:val="000000"/>
        </w:rPr>
        <w:t>prefix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для </w:t>
      </w:r>
      <w:r>
        <w:rPr>
          <w:b w:val="false"/>
          <w:bCs w:val="false"/>
          <w:color w:val="000000"/>
        </w:rPr>
        <w:t>текущего</w:t>
      </w:r>
      <w:r>
        <w:rPr>
          <w:b w:val="false"/>
          <w:bCs w:val="false"/>
          <w:color w:val="000000"/>
        </w:rPr>
        <w:t xml:space="preserve"> режима работы CLI с учетом прав пользователя.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color w:val="000000"/>
        </w:rPr>
      </w:pPr>
      <w:r>
        <w:rPr>
          <w:b/>
          <w:bCs/>
          <w:color w:val="000000"/>
        </w:rPr>
        <w:t>"[word</w:t>
      </w:r>
      <w:r>
        <w:rPr>
          <w:b/>
          <w:bCs w:val="false"/>
          <w:color w:val="000000"/>
          <w:vertAlign w:val="subscript"/>
        </w:rPr>
        <w:t>1</w:t>
      </w:r>
      <w:r>
        <w:rPr>
          <w:b/>
          <w:bCs/>
          <w:color w:val="000000"/>
        </w:rPr>
        <w:t xml:space="preserve"> … word</w:t>
      </w:r>
      <w:r>
        <w:rPr>
          <w:b/>
          <w:bCs/>
          <w:color w:val="000000"/>
          <w:vertAlign w:val="subscript"/>
        </w:rPr>
        <w:t>N</w:t>
      </w:r>
      <w:r>
        <w:rPr>
          <w:b/>
          <w:bCs/>
          <w:color w:val="000000"/>
        </w:rPr>
        <w:t xml:space="preserve">] ? </w:t>
      </w:r>
      <w:bookmarkStart w:id="3" w:name="__DdeLink__240_292482317"/>
      <w:r>
        <w:rPr>
          <w:b/>
          <w:bCs/>
          <w:color w:val="000000"/>
        </w:rPr>
        <w:t>[</w:t>
      </w:r>
      <w:r>
        <w:rPr>
          <w:b/>
          <w:bCs/>
          <w:color w:val="000000"/>
        </w:rPr>
        <w:t>arg</w:t>
      </w:r>
      <w:r>
        <w:rPr>
          <w:b/>
          <w:bCs w:val="false"/>
          <w:color w:val="000000"/>
          <w:vertAlign w:val="subscript"/>
        </w:rPr>
        <w:t>1</w:t>
      </w:r>
      <w:r>
        <w:rPr>
          <w:b/>
          <w:bCs/>
          <w:color w:val="000000"/>
        </w:rPr>
        <w:t xml:space="preserve"> … </w:t>
      </w:r>
      <w:r>
        <w:rPr>
          <w:b/>
          <w:bCs/>
          <w:color w:val="000000"/>
        </w:rPr>
        <w:t>arg</w:t>
      </w:r>
      <w:r>
        <w:rPr>
          <w:b/>
          <w:bCs/>
          <w:color w:val="000000"/>
          <w:vertAlign w:val="subscript"/>
        </w:rPr>
        <w:t>N</w:t>
      </w:r>
      <w:r>
        <w:rPr>
          <w:b/>
          <w:bCs/>
          <w:color w:val="000000"/>
        </w:rPr>
        <w:t>]</w:t>
      </w:r>
      <w:bookmarkEnd w:id="3"/>
      <w:r>
        <w:rPr>
          <w:b/>
          <w:bCs/>
          <w:color w:val="000000"/>
        </w:rPr>
        <w:t>"</w:t>
      </w:r>
      <w:r>
        <w:rPr>
          <w:b w:val="false"/>
          <w:bCs w:val="false"/>
          <w:color w:val="000000"/>
        </w:rPr>
        <w:t xml:space="preserve"> — </w:t>
      </w:r>
      <w:r>
        <w:rPr>
          <w:b w:val="false"/>
          <w:bCs w:val="false"/>
          <w:color w:val="000000"/>
        </w:rPr>
        <w:t xml:space="preserve">вывод помощи для команды </w:t>
      </w:r>
      <w:r>
        <w:rPr>
          <w:b/>
          <w:bCs/>
          <w:color w:val="000000"/>
        </w:rPr>
        <w:t>[word</w:t>
      </w:r>
      <w:r>
        <w:rPr>
          <w:b/>
          <w:bCs w:val="false"/>
          <w:color w:val="000000"/>
          <w:vertAlign w:val="subscript"/>
        </w:rPr>
        <w:t>1</w:t>
      </w:r>
      <w:r>
        <w:rPr>
          <w:b/>
          <w:bCs/>
          <w:color w:val="000000"/>
        </w:rPr>
        <w:t xml:space="preserve"> … word</w:t>
      </w:r>
      <w:r>
        <w:rPr>
          <w:b/>
          <w:bCs/>
          <w:color w:val="000000"/>
          <w:vertAlign w:val="subscript"/>
        </w:rPr>
        <w:t>N</w:t>
      </w:r>
      <w:r>
        <w:rPr>
          <w:b/>
          <w:bCs/>
          <w:color w:val="000000"/>
        </w:rPr>
        <w:t>]</w:t>
      </w:r>
      <w:r>
        <w:rPr>
          <w:b w:val="false"/>
          <w:bCs w:val="false"/>
          <w:color w:val="000000"/>
        </w:rPr>
        <w:t xml:space="preserve"> с учетом текущего</w:t>
      </w:r>
      <w:r>
        <w:rPr>
          <w:b w:val="false"/>
          <w:bCs w:val="false"/>
          <w:color w:val="000000"/>
        </w:rPr>
        <w:t xml:space="preserve"> режима работы CLI </w:t>
      </w:r>
      <w:r>
        <w:rPr>
          <w:b w:val="false"/>
          <w:bCs w:val="false"/>
          <w:color w:val="000000"/>
        </w:rPr>
        <w:t>и</w:t>
      </w:r>
      <w:r>
        <w:rPr>
          <w:b w:val="false"/>
          <w:bCs w:val="false"/>
          <w:color w:val="000000"/>
        </w:rPr>
        <w:t xml:space="preserve"> прав пользователя</w:t>
      </w:r>
      <w:r>
        <w:rPr>
          <w:b w:val="false"/>
          <w:bCs w:val="false"/>
          <w:color w:val="000000"/>
        </w:rPr>
        <w:t>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</w:t>
      </w:r>
      <w:r>
        <w:rPr>
          <w:b w:val="false"/>
          <w:bCs w:val="false"/>
          <w:color w:val="000000"/>
        </w:rPr>
        <w:t xml:space="preserve">десь </w:t>
      </w:r>
      <w:r>
        <w:rPr>
          <w:b/>
          <w:bCs/>
          <w:color w:val="000000"/>
        </w:rPr>
        <w:t>[</w:t>
      </w:r>
      <w:r>
        <w:rPr>
          <w:b/>
          <w:bCs/>
          <w:color w:val="000000"/>
        </w:rPr>
        <w:t>arg</w:t>
      </w:r>
      <w:r>
        <w:rPr>
          <w:b/>
          <w:bCs w:val="false"/>
          <w:color w:val="000000"/>
          <w:vertAlign w:val="subscript"/>
        </w:rPr>
        <w:t>1</w:t>
      </w:r>
      <w:r>
        <w:rPr>
          <w:b/>
          <w:bCs/>
          <w:color w:val="000000"/>
        </w:rPr>
        <w:t xml:space="preserve"> … </w:t>
      </w:r>
      <w:r>
        <w:rPr>
          <w:b/>
          <w:bCs/>
          <w:color w:val="000000"/>
        </w:rPr>
        <w:t>arg</w:t>
      </w:r>
      <w:r>
        <w:rPr>
          <w:b/>
          <w:bCs/>
          <w:color w:val="000000"/>
          <w:vertAlign w:val="subscript"/>
        </w:rPr>
        <w:t>N</w:t>
      </w:r>
      <w:r>
        <w:rPr>
          <w:b/>
          <w:bCs/>
          <w:color w:val="000000"/>
        </w:rPr>
        <w:t>]</w:t>
      </w:r>
      <w:r>
        <w:rPr>
          <w:b w:val="false"/>
          <w:bCs w:val="false"/>
          <w:color w:val="000000"/>
        </w:rPr>
        <w:t xml:space="preserve"> — возможные аргументы для команды помощи. Обработка этой команды происходит следующим образом: если во время разбора ввода пользователя мы определяем, что этот ввод может быть интерпретирован как команда помощи, то ввод пользователя мы будем разбирать как команду помощи.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Таблица синтаксического анализа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String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Множества FIRST и FOLLOW: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FIRST(Command) = {</w:t>
      </w:r>
      <w:r>
        <w:rPr>
          <w:b/>
          <w:bCs/>
        </w:rPr>
        <w:t>Word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FOLLOW(Command)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FIRST(Args)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FOLLOW(Args)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Таблица: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2(2)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] = 2(3)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26"/>
        <w:gridCol w:w="2884"/>
        <w:gridCol w:w="2886"/>
        <w:gridCol w:w="1940"/>
      </w:tblGrid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9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'$'</w:t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28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28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/>
              <w:t>2(1)</w:t>
            </w:r>
          </w:p>
        </w:tc>
        <w:tc>
          <w:tcPr>
            <w:tcW w:w="28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/>
              <w:t>2(2)</w:t>
            </w:r>
          </w:p>
        </w:tc>
        <w:tc>
          <w:tcPr>
            <w:tcW w:w="19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/>
              <w:t>2(3)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Содержимое таблицы"/>
    <w:basedOn w:val="Normal"/>
    <w:pPr>
      <w:suppressLineNumbers/>
    </w:pPr>
    <w:rPr/>
  </w:style>
  <w:style w:type="paragraph" w:styleId="Style21">
    <w:name w:val="Заголовок таблицы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2014-10-26T09:27:06Z</dcterms:created>
  <dc:creator>stdstring </dc:creator>
  <dc:language>ru</dc:language>
  <cp:revision>0</cp:revision>
</cp:coreProperties>
</file>