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Лексический анализ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/>
          <w:bCs/>
        </w:rPr>
      </w:pPr>
      <w:r>
        <w:rPr>
          <w:i/>
          <w:iCs/>
        </w:rPr>
        <w:t>Letter</w:t>
      </w:r>
      <w:r>
        <w:rPr/>
        <w:t xml:space="preserve"> =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  <w:r>
        <w:rPr/>
        <w:t xml:space="preserve"> |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</w:p>
    <w:p>
      <w:pPr>
        <w:pStyle w:val="style0"/>
        <w:jc w:val="both"/>
        <w:rPr>
          <w:b/>
          <w:bCs/>
        </w:rPr>
      </w:pPr>
      <w:r>
        <w:rPr>
          <w:i/>
          <w:iCs/>
        </w:rPr>
        <w:t>Digit</w:t>
      </w:r>
      <w:r>
        <w:rPr/>
        <w:t xml:space="preserve"> = </w:t>
      </w:r>
      <w:r>
        <w:rPr>
          <w:b/>
          <w:bCs/>
        </w:rPr>
        <w:t>0</w:t>
      </w:r>
      <w:r>
        <w:rPr/>
        <w:t xml:space="preserve"> | … | </w:t>
      </w:r>
      <w:r>
        <w:rPr>
          <w:b/>
          <w:bCs/>
        </w:rPr>
        <w:t>9</w:t>
      </w:r>
    </w:p>
    <w:p>
      <w:pPr>
        <w:pStyle w:val="style0"/>
        <w:jc w:val="both"/>
        <w:rPr>
          <w:b/>
          <w:bCs/>
        </w:rPr>
      </w:pPr>
      <w:r>
        <w:rPr>
          <w:i/>
          <w:iCs/>
        </w:rPr>
        <w:t>WordCharacter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| </w:t>
      </w:r>
      <w:r>
        <w:rPr>
          <w:i/>
          <w:iCs/>
        </w:rPr>
        <w:t>Digit</w:t>
      </w:r>
      <w:r>
        <w:rPr/>
        <w:t xml:space="preserve"> | </w:t>
      </w:r>
      <w:r>
        <w:rPr>
          <w:b/>
          <w:bCs/>
        </w:rPr>
        <w:t>'_'</w:t>
      </w:r>
      <w:r>
        <w:rPr/>
        <w:t xml:space="preserve"> | </w:t>
      </w:r>
      <w:r>
        <w:rPr>
          <w:b/>
          <w:bCs/>
        </w:rPr>
        <w:t>'-'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'.'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','</w:t>
      </w:r>
    </w:p>
    <w:p>
      <w:pPr>
        <w:pStyle w:val="style0"/>
        <w:jc w:val="both"/>
        <w:rPr/>
      </w:pPr>
      <w:r>
        <w:rPr>
          <w:i/>
          <w:iCs/>
        </w:rPr>
        <w:t>Word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{</w:t>
      </w:r>
      <w:r>
        <w:rPr>
          <w:i/>
          <w:iCs/>
        </w:rPr>
        <w:t>WordCharacter</w:t>
      </w:r>
      <w:r>
        <w:rPr/>
        <w:t>}</w:t>
      </w:r>
    </w:p>
    <w:p>
      <w:pPr>
        <w:pStyle w:val="style0"/>
        <w:jc w:val="both"/>
        <w:rPr>
          <w:b/>
          <w:bCs/>
          <w:color w:val="000000"/>
        </w:rPr>
      </w:pPr>
      <w:r>
        <w:rPr>
          <w:b w:val="false"/>
          <w:bCs w:val="false"/>
          <w:i/>
          <w:iCs/>
        </w:rPr>
        <w:t>Letter</w:t>
      </w:r>
      <w:r>
        <w:rPr>
          <w:i/>
          <w:iCs/>
        </w:rPr>
        <w:t>Char</w:t>
      </w:r>
      <w:r>
        <w:rPr/>
        <w:t xml:space="preserve"> = </w:t>
      </w:r>
      <w:r>
        <w:rPr>
          <w:b/>
          <w:bCs/>
        </w:rPr>
        <w:t xml:space="preserve">любой символ кроме </w:t>
      </w:r>
      <w:r>
        <w:rPr>
          <w:b/>
          <w:bCs/>
          <w:color w:val="000000"/>
        </w:rPr>
        <w:t>'"'</w:t>
      </w:r>
    </w:p>
    <w:p>
      <w:pPr>
        <w:pStyle w:val="style0"/>
        <w:jc w:val="both"/>
        <w:rPr>
          <w:b/>
          <w:bCs/>
          <w:color w:val="000000"/>
        </w:rPr>
      </w:pPr>
      <w:r>
        <w:rPr>
          <w:i/>
          <w:iCs/>
        </w:rPr>
        <w:t>String</w:t>
      </w:r>
      <w:r>
        <w:rPr/>
        <w:t xml:space="preserve"> = </w:t>
      </w:r>
      <w:r>
        <w:rPr>
          <w:b/>
          <w:bCs/>
          <w:color w:val="000000"/>
        </w:rPr>
        <w:t>'"'</w:t>
      </w:r>
      <w:r>
        <w:rPr>
          <w:b w:val="false"/>
          <w:bCs w:val="false"/>
          <w:color w:val="000000"/>
        </w:rPr>
        <w:t xml:space="preserve"> {</w:t>
      </w:r>
      <w:r>
        <w:rPr>
          <w:b w:val="false"/>
          <w:bCs w:val="false"/>
          <w:i/>
          <w:iCs/>
          <w:color w:val="000000"/>
        </w:rPr>
        <w:t xml:space="preserve">LetterChar | </w:t>
      </w:r>
      <w:bookmarkStart w:id="0" w:name="__DdeLink__242_874752077"/>
      <w:r>
        <w:rPr>
          <w:b/>
          <w:bCs/>
          <w:i w:val="false"/>
          <w:iCs w:val="false"/>
          <w:color w:val="000000"/>
        </w:rPr>
        <w:t>'\"'</w:t>
      </w:r>
      <w:bookmarkEnd w:id="0"/>
      <w:r>
        <w:rPr>
          <w:b w:val="false"/>
          <w:bCs w:val="false"/>
          <w:i w:val="false"/>
          <w:iCs w:val="false"/>
          <w:color w:val="000000"/>
        </w:rPr>
        <w:t xml:space="preserve"> | </w:t>
      </w:r>
      <w:r>
        <w:rPr>
          <w:b/>
          <w:bCs/>
          <w:i w:val="false"/>
          <w:iCs w:val="false"/>
          <w:color w:val="000000"/>
        </w:rPr>
        <w:t>'\\'</w:t>
      </w:r>
      <w:r>
        <w:rPr>
          <w:b w:val="false"/>
          <w:bCs w:val="false"/>
          <w:color w:val="000000"/>
        </w:rPr>
        <w:t xml:space="preserve">} </w:t>
      </w:r>
      <w:r>
        <w:rPr>
          <w:b/>
          <w:bCs/>
          <w:color w:val="000000"/>
        </w:rPr>
        <w:t>'"'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Правила разбора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both"/>
        <w:rPr/>
      </w:pPr>
      <w:r>
        <w:rPr/>
        <w:t>1) При помощи синтаксического анализа мы разбираем ввод пользователя.</w:t>
      </w:r>
    </w:p>
    <w:p>
      <w:pPr>
        <w:pStyle w:val="style0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1" w:name="__DdeLink__1870_2097074821"/>
      <w:r>
        <w:rPr/>
        <w:t>для распознавания команд.</w:t>
      </w:r>
      <w:bookmarkEnd w:id="1"/>
      <w:r>
        <w:rPr/>
        <w:t xml:space="preserve"> Каждый элемент этой таблицы 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style0"/>
        <w:jc w:val="both"/>
        <w:rPr/>
      </w:pPr>
      <w:r>
        <w:rPr/>
        <w:t xml:space="preserve">3) После разбора команды при помощи синтаксического анализа мы ищем для этой команды соответствующий элемент в таблице. При поиске в таблице мы ищем максимально возможное соответствие. Так, например, для ввода пользователя </w:t>
      </w:r>
      <w:r>
        <w:rPr>
          <w:b/>
          <w:bCs/>
          <w:color w:val="000000"/>
        </w:rPr>
        <w:t>"interface range XXX"</w:t>
      </w:r>
      <w:r>
        <w:rPr>
          <w:b w:val="false"/>
          <w:bCs w:val="false"/>
          <w:color w:val="000000"/>
        </w:rPr>
        <w:t xml:space="preserve"> будет найдено соответствие </w:t>
      </w:r>
      <w:bookmarkStart w:id="2" w:name="__DdeLink__236_1913469347"/>
      <w:r>
        <w:rPr>
          <w:b/>
          <w:bCs/>
          <w:color w:val="000000"/>
        </w:rPr>
        <w:t>"interface range"</w:t>
      </w:r>
      <w:bookmarkEnd w:id="2"/>
      <w:r>
        <w:rPr>
          <w:b w:val="false"/>
          <w:bCs w:val="false"/>
          <w:color w:val="000000"/>
        </w:rPr>
        <w:t xml:space="preserve">, а не </w:t>
      </w:r>
      <w:r>
        <w:rPr>
          <w:b/>
          <w:bCs/>
          <w:color w:val="000000"/>
        </w:rPr>
        <w:t>"interface"</w:t>
      </w:r>
      <w:r>
        <w:rPr>
          <w:b w:val="false"/>
          <w:bCs w:val="false"/>
          <w:color w:val="000000"/>
        </w:rPr>
        <w:t xml:space="preserve"> (при наличии команд </w:t>
      </w:r>
      <w:r>
        <w:rPr>
          <w:b/>
          <w:bCs/>
          <w:color w:val="000000"/>
        </w:rPr>
        <w:t>"interface"</w:t>
      </w:r>
      <w:r>
        <w:rPr>
          <w:b w:val="false"/>
          <w:bCs w:val="false"/>
          <w:color w:val="000000"/>
        </w:rPr>
        <w:t xml:space="preserve"> и </w:t>
      </w:r>
      <w:r>
        <w:rPr>
          <w:b/>
          <w:bCs/>
          <w:color w:val="000000"/>
        </w:rPr>
        <w:t>"interface range"</w:t>
      </w:r>
      <w:r>
        <w:rPr>
          <w:b w:val="false"/>
          <w:bCs w:val="false"/>
          <w:color w:val="000000"/>
        </w:rPr>
        <w:t xml:space="preserve"> в таблице).</w:t>
      </w:r>
      <w:r>
        <w:rPr/>
        <w:t xml:space="preserve"> При этом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уникально идентифицирующего данное слово; эта длина идет вместе с каждым словом для каждого элемента из таблицы для распознавания команд.</w:t>
      </w:r>
    </w:p>
    <w:p>
      <w:pPr>
        <w:pStyle w:val="style0"/>
        <w:jc w:val="both"/>
        <w:rPr/>
      </w:pPr>
      <w:r>
        <w:rPr/>
        <w:t>4) Остаток команды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style0"/>
        <w:jc w:val="both"/>
        <w:rPr/>
      </w:pPr>
      <w:r>
        <w:rPr/>
        <w:t>5) Если для какой-либо команды будет не найден элемент в таблице для распознавания команд, то мы будем генерировать ошибку разбора.</w:t>
      </w:r>
    </w:p>
    <w:p>
      <w:pPr>
        <w:pStyle w:val="style0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Таблица синтаксического анализа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Правила:</w:t>
      </w:r>
    </w:p>
    <w:p>
      <w:pPr>
        <w:pStyle w:val="style0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String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Множества FIRST и FOLLOW: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FIRST(Command) = {</w:t>
      </w:r>
      <w:r>
        <w:rPr>
          <w:b/>
          <w:bCs/>
        </w:rPr>
        <w:t>Word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FOLLOW(Command)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FIRST(Args)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FOLLOW(Args)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Таблица: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1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2(2)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2(3)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type="dxa" w:w="4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36"/>
          <w:bottom w:type="dxa" w:w="55"/>
          <w:right w:type="dxa" w:w="55"/>
        </w:tblCellMar>
      </w:tblPr>
      <w:tblGrid>
        <w:gridCol w:w="1925"/>
        <w:gridCol w:w="2883"/>
        <w:gridCol w:w="2886"/>
        <w:gridCol w:w="1941"/>
      </w:tblGrid>
      <w:tr>
        <w:trPr>
          <w:cantSplit w:val="false"/>
        </w:trPr>
        <w:tc>
          <w:tcPr>
            <w:tcW w:type="dxa" w:w="19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type="dxa" w:w="288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28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9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>
                <w:b/>
                <w:bCs/>
              </w:rPr>
            </w:pPr>
            <w:r>
              <w:rPr>
                <w:b/>
                <w:bCs/>
              </w:rPr>
              <w:t>'$'</w:t>
            </w:r>
          </w:p>
        </w:tc>
      </w:tr>
      <w:tr>
        <w:trPr>
          <w:cantSplit w:val="false"/>
        </w:trPr>
        <w:tc>
          <w:tcPr>
            <w:tcW w:type="dxa" w:w="192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type="dxa" w:w="288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  <w:t>1</w:t>
            </w:r>
          </w:p>
        </w:tc>
        <w:tc>
          <w:tcPr>
            <w:tcW w:type="dxa" w:w="2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type="dxa" w:w="19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2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288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  <w:t>2(1)</w:t>
            </w:r>
          </w:p>
        </w:tc>
        <w:tc>
          <w:tcPr>
            <w:tcW w:type="dxa" w:w="288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  <w:t>2(2)</w:t>
            </w:r>
          </w:p>
        </w:tc>
        <w:tc>
          <w:tcPr>
            <w:tcW w:type="dxa" w:w="19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3"/>
              <w:rPr/>
            </w:pPr>
            <w:r>
              <w:rPr/>
              <w:t>2(3)</w:t>
            </w:r>
          </w:p>
        </w:tc>
      </w:tr>
    </w:tbl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40" w:before="0" w:line="288" w:lineRule="auto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FreeSans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FreeSans"/>
    </w:rPr>
  </w:style>
  <w:style w:styleId="style23" w:type="paragraph">
    <w:name w:val="Содержимое таблицы"/>
    <w:basedOn w:val="style0"/>
    <w:next w:val="style23"/>
    <w:pPr>
      <w:suppressLineNumbers/>
    </w:pPr>
    <w:rPr/>
  </w:style>
  <w:style w:styleId="style24" w:type="paragraph">
    <w:name w:val="Заголовок таблицы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2014-10-26T09:27:06Z</dcterms:created>
  <dc:creator>stdstring </dc:creator>
  <dc:language>ru</dc:language>
  <cp:revision>0</cp:revision>
</cp:coreProperties>
</file>