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numPr>
          <w:ilvl w:val="0"/>
          <w:numId w:val="1"/>
        </w:numPr>
        <w:jc w:val="both"/>
        <w:rPr/>
      </w:pPr>
      <w:r>
        <w:rPr/>
        <w:t>Если пользователь бездействует в течении некоторого времени, то клиент, через который пользователь взаимодействовал с системой, автоматически завершает свою работу.</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Normal"/>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Normal"/>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без аутентификации</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интерфейса</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р</w:t>
      </w:r>
      <w:bookmarkStart w:id="0" w:name="__DdeLink__146_1680720476"/>
      <w:r>
        <w:rPr/>
        <w:t>ежим работы без аутентификации</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tabs>
          <w:tab w:val="left" w:pos="1620" w:leader="none"/>
          <w:tab w:val="left" w:pos="1790" w:leader="none"/>
        </w:tabs>
        <w:jc w:val="both"/>
        <w:rPr/>
      </w:pPr>
      <w:r>
        <w:rPr/>
        <w:t xml:space="preserve">Команда </w:t>
      </w:r>
      <w:r>
        <w:rPr>
          <w:b/>
          <w:bCs/>
        </w:rPr>
        <w:t>logout</w:t>
      </w:r>
      <w:r>
        <w:rPr/>
        <w:t>: фундаментальный режим работы, режим глобальной настройки,  режим настройки интерфейса, режим настройки группы интерфейсов, режим настройки VLAN → режим работы без аутентификации.</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Разбор ввода пользователя и построения цепочки команд</w:t>
      </w:r>
    </w:p>
    <w:p>
      <w:pPr>
        <w:pStyle w:val="Normal"/>
        <w:jc w:val="both"/>
        <w:rPr/>
      </w:pPr>
      <w:r>
        <w:rPr/>
      </w:r>
    </w:p>
    <w:p>
      <w:pPr>
        <w:pStyle w:val="Normal"/>
        <w:jc w:val="both"/>
        <w:rPr/>
      </w:pPr>
      <w:r>
        <w:rPr/>
        <w:t>Лексический анализ:</w:t>
      </w:r>
    </w:p>
    <w:p>
      <w:pPr>
        <w:pStyle w:val="Normal"/>
        <w:jc w:val="both"/>
        <w:rPr/>
      </w:pPr>
      <w:r>
        <w:rPr/>
        <w:t>Letter = A | … | Z | a | … | z</w:t>
      </w:r>
    </w:p>
    <w:p>
      <w:pPr>
        <w:pStyle w:val="Normal"/>
        <w:jc w:val="both"/>
        <w:rPr/>
      </w:pPr>
      <w:r>
        <w:rPr/>
        <w:t>Digit = 0 | … | 9</w:t>
      </w:r>
    </w:p>
    <w:p>
      <w:pPr>
        <w:pStyle w:val="Normal"/>
        <w:jc w:val="both"/>
        <w:rPr/>
      </w:pPr>
      <w:r>
        <w:rPr/>
        <w:t>Word</w:t>
      </w:r>
      <w:r>
        <w:rPr/>
        <w:t>Character = Letter | Digit | '\' | '.' | ',' | '-'</w:t>
      </w:r>
    </w:p>
    <w:p>
      <w:pPr>
        <w:pStyle w:val="Normal"/>
        <w:jc w:val="both"/>
        <w:rPr/>
      </w:pPr>
      <w:r>
        <w:rPr/>
        <w:t xml:space="preserve">Word = </w:t>
      </w:r>
      <w:r>
        <w:rPr/>
        <w:t>Word</w:t>
      </w:r>
      <w:r>
        <w:rPr/>
        <w:t>Character {</w:t>
      </w:r>
      <w:r>
        <w:rPr/>
        <w:t>Word</w:t>
      </w:r>
      <w:r>
        <w:rPr/>
        <w:t>Character}</w:t>
      </w:r>
    </w:p>
    <w:p>
      <w:pPr>
        <w:pStyle w:val="Normal"/>
        <w:jc w:val="both"/>
        <w:rPr/>
      </w:pPr>
      <w:r>
        <w:rPr/>
        <w:t>Character = …</w:t>
      </w:r>
    </w:p>
    <w:p>
      <w:pPr>
        <w:pStyle w:val="Normal"/>
        <w:jc w:val="both"/>
        <w:rPr>
          <w:b w:val="false"/>
          <w:bCs w:val="false"/>
          <w:color w:val="000000"/>
        </w:rPr>
      </w:pPr>
      <w:r>
        <w:rPr/>
        <w:t>String</w:t>
      </w:r>
      <w:r>
        <w:rPr/>
        <w:t xml:space="preserve"> = </w:t>
      </w:r>
      <w:r>
        <w:rPr>
          <w:b w:val="false"/>
          <w:bCs w:val="false"/>
          <w:color w:val="000000"/>
        </w:rPr>
        <w:t>'"' Character {Character} '"'</w:t>
      </w:r>
    </w:p>
    <w:p>
      <w:pPr>
        <w:pStyle w:val="Normal"/>
        <w:jc w:val="both"/>
        <w:rPr/>
      </w:pPr>
      <w:r>
        <w:rPr/>
      </w:r>
    </w:p>
    <w:p>
      <w:pPr>
        <w:pStyle w:val="Normal"/>
        <w:jc w:val="both"/>
        <w:rPr>
          <w:b w:val="false"/>
          <w:bCs w:val="false"/>
          <w:color w:val="000000"/>
        </w:rPr>
      </w:pPr>
      <w:r>
        <w:rPr>
          <w:b w:val="false"/>
          <w:bCs w:val="false"/>
          <w:color w:val="000000"/>
        </w:rPr>
        <w:t>Синтаксический анализ:</w:t>
      </w:r>
    </w:p>
    <w:p>
      <w:pPr>
        <w:pStyle w:val="Normal"/>
        <w:jc w:val="both"/>
        <w:rPr>
          <w:b w:val="false"/>
          <w:bCs w:val="false"/>
          <w:color w:val="000000"/>
        </w:rPr>
      </w:pPr>
      <w:r>
        <w:rPr>
          <w:b w:val="false"/>
          <w:bCs w:val="false"/>
          <w:color w:val="000000"/>
        </w:rPr>
        <w:t>Command = Word {Word | String}</w:t>
      </w:r>
    </w:p>
    <w:p>
      <w:pPr>
        <w:pStyle w:val="Normal"/>
        <w:jc w:val="both"/>
        <w:rPr/>
      </w:pPr>
      <w:r>
        <w:rPr/>
      </w:r>
    </w:p>
    <w:p>
      <w:pPr>
        <w:pStyle w:val="Normal"/>
        <w:jc w:val="both"/>
        <w:rPr/>
      </w:pPr>
      <w:r>
        <w:rPr/>
        <w:t>Модификация LL(1) анализа:</w:t>
      </w:r>
    </w:p>
    <w:p>
      <w:pPr>
        <w:pStyle w:val="Normal"/>
        <w:jc w:val="both"/>
        <w:rPr/>
      </w:pPr>
      <w:r>
        <w:rPr/>
      </w:r>
    </w:p>
    <w:p>
      <w:pPr>
        <w:pStyle w:val="Normal"/>
        <w:jc w:val="both"/>
        <w:rPr>
          <w:color w:val="800000"/>
        </w:rPr>
      </w:pPr>
      <w:r>
        <w:rPr>
          <w:color w:val="800000"/>
        </w:rPr>
        <w:tab/>
        <w:t>При разборе ввода пользователя и построение цепочки команд мы будем делать следующие шаги:</w:t>
      </w:r>
    </w:p>
    <w:p>
      <w:pPr>
        <w:pStyle w:val="Normal"/>
        <w:numPr>
          <w:ilvl w:val="0"/>
          <w:numId w:val="3"/>
        </w:numPr>
        <w:jc w:val="both"/>
        <w:rPr>
          <w:color w:val="800000"/>
        </w:rPr>
      </w:pPr>
      <w:r>
        <w:rPr>
          <w:color w:val="800000"/>
        </w:rPr>
        <w:t>Разбираем ввод пользователя на лексемы при помощи лексического анализатора.</w:t>
      </w:r>
    </w:p>
    <w:p>
      <w:pPr>
        <w:pStyle w:val="Normal"/>
        <w:numPr>
          <w:ilvl w:val="0"/>
          <w:numId w:val="3"/>
        </w:numPr>
        <w:jc w:val="both"/>
        <w:rPr>
          <w:color w:val="800000"/>
        </w:rPr>
      </w:pPr>
      <w:r>
        <w:rPr>
          <w:color w:val="800000"/>
        </w:rPr>
        <w:t>Разбираем полученный набор лексем и строим AST при помощи синтаксического анализатора (в качестве синтаксического анализатора мы будем использовать LL(1)).</w:t>
      </w:r>
    </w:p>
    <w:p>
      <w:pPr>
        <w:pStyle w:val="Normal"/>
        <w:numPr>
          <w:ilvl w:val="0"/>
          <w:numId w:val="3"/>
        </w:numPr>
        <w:jc w:val="both"/>
        <w:rPr>
          <w:color w:val="800000"/>
        </w:rPr>
      </w:pPr>
      <w:r>
        <w:rPr>
          <w:color w:val="800000"/>
        </w:rPr>
        <w:t>По построенной AST создаем команды из цепочки (с соответствующими аргументами), строим связи между этими командами (на основе перенаправления вывода и вывода ошибок) и создаем обертку для выполнения построенной цепочки команд — контекст выполнения.</w:t>
      </w:r>
    </w:p>
    <w:p>
      <w:pPr>
        <w:pStyle w:val="Normal"/>
        <w:jc w:val="both"/>
        <w:rPr>
          <w:color w:val="800000"/>
        </w:rPr>
      </w:pPr>
      <w:r>
        <w:rPr>
          <w:color w:val="800000"/>
        </w:rPr>
      </w:r>
    </w:p>
    <w:p>
      <w:pPr>
        <w:pStyle w:val="Normal"/>
        <w:jc w:val="both"/>
        <w:rPr>
          <w:color w:val="800000"/>
        </w:rPr>
      </w:pPr>
      <w:r>
        <w:rPr>
          <w:color w:val="800000"/>
        </w:rPr>
        <w:t>Правила лексического анализа:</w:t>
      </w:r>
    </w:p>
    <w:p>
      <w:pPr>
        <w:pStyle w:val="Normal"/>
        <w:jc w:val="both"/>
        <w:rPr>
          <w:b/>
          <w:bCs/>
          <w:color w:val="800000"/>
        </w:rPr>
      </w:pPr>
      <w:r>
        <w:rPr>
          <w:i/>
          <w:iCs/>
          <w:color w:val="800000"/>
        </w:rPr>
        <w:t>Letter</w:t>
      </w:r>
      <w:r>
        <w:rPr>
          <w:color w:val="800000"/>
        </w:rPr>
        <w:t xml:space="preserve"> = </w:t>
      </w:r>
      <w:r>
        <w:rPr>
          <w:b/>
          <w:bCs/>
          <w:color w:val="800000"/>
        </w:rPr>
        <w:t>A</w:t>
      </w:r>
      <w:r>
        <w:rPr>
          <w:color w:val="800000"/>
        </w:rPr>
        <w:t xml:space="preserve"> | … | </w:t>
      </w:r>
      <w:r>
        <w:rPr>
          <w:b/>
          <w:bCs/>
          <w:color w:val="800000"/>
        </w:rPr>
        <w:t>Z</w:t>
      </w:r>
      <w:r>
        <w:rPr>
          <w:color w:val="800000"/>
        </w:rPr>
        <w:t xml:space="preserve"> | </w:t>
      </w:r>
      <w:r>
        <w:rPr>
          <w:b/>
          <w:bCs/>
          <w:color w:val="800000"/>
        </w:rPr>
        <w:t>a</w:t>
      </w:r>
      <w:r>
        <w:rPr>
          <w:color w:val="800000"/>
        </w:rPr>
        <w:t xml:space="preserve"> | … | </w:t>
      </w:r>
      <w:r>
        <w:rPr>
          <w:b/>
          <w:bCs/>
          <w:color w:val="800000"/>
        </w:rPr>
        <w:t>z</w:t>
      </w:r>
    </w:p>
    <w:p>
      <w:pPr>
        <w:pStyle w:val="Normal"/>
        <w:jc w:val="both"/>
        <w:rPr>
          <w:color w:val="800000"/>
        </w:rPr>
      </w:pPr>
      <w:r>
        <w:rPr>
          <w:i/>
          <w:iCs/>
          <w:color w:val="800000"/>
        </w:rPr>
        <w:t>Word</w:t>
      </w:r>
      <w:r>
        <w:rPr>
          <w:color w:val="800000"/>
        </w:rPr>
        <w:t xml:space="preserve"> = </w:t>
      </w:r>
      <w:r>
        <w:rPr>
          <w:i/>
          <w:iCs/>
          <w:color w:val="800000"/>
        </w:rPr>
        <w:t>Letter</w:t>
      </w:r>
      <w:r>
        <w:rPr>
          <w:color w:val="800000"/>
        </w:rPr>
        <w:t xml:space="preserve"> {</w:t>
      </w:r>
      <w:r>
        <w:rPr>
          <w:i/>
          <w:iCs/>
          <w:color w:val="800000"/>
        </w:rPr>
        <w:t>Letter</w:t>
      </w:r>
      <w:r>
        <w:rPr>
          <w:color w:val="800000"/>
        </w:rPr>
        <w:t>}</w:t>
      </w:r>
    </w:p>
    <w:p>
      <w:pPr>
        <w:pStyle w:val="Normal"/>
        <w:jc w:val="both"/>
        <w:rPr>
          <w:color w:val="800000"/>
        </w:rPr>
      </w:pPr>
      <w:r>
        <w:rPr>
          <w:i/>
          <w:iCs/>
          <w:color w:val="800000"/>
        </w:rPr>
        <w:t>Character</w:t>
      </w:r>
      <w:r>
        <w:rPr>
          <w:color w:val="800000"/>
        </w:rPr>
        <w:t xml:space="preserve"> = …</w:t>
      </w:r>
    </w:p>
    <w:p>
      <w:pPr>
        <w:pStyle w:val="Normal"/>
        <w:jc w:val="both"/>
        <w:rPr>
          <w:b/>
          <w:bCs/>
          <w:color w:val="800000"/>
        </w:rPr>
      </w:pPr>
      <w:r>
        <w:rPr>
          <w:i/>
          <w:iCs/>
          <w:color w:val="800000"/>
        </w:rPr>
        <w:t>Digit</w:t>
      </w:r>
      <w:r>
        <w:rPr>
          <w:color w:val="800000"/>
        </w:rPr>
        <w:t xml:space="preserve"> = </w:t>
      </w:r>
      <w:r>
        <w:rPr>
          <w:b/>
          <w:bCs/>
          <w:color w:val="800000"/>
        </w:rPr>
        <w:t>0</w:t>
      </w:r>
      <w:r>
        <w:rPr>
          <w:color w:val="800000"/>
        </w:rPr>
        <w:t xml:space="preserve"> | … | </w:t>
      </w:r>
      <w:r>
        <w:rPr>
          <w:b/>
          <w:bCs/>
          <w:color w:val="800000"/>
        </w:rPr>
        <w:t>9</w:t>
      </w:r>
    </w:p>
    <w:p>
      <w:pPr>
        <w:pStyle w:val="Normal"/>
        <w:jc w:val="both"/>
        <w:rPr>
          <w:b/>
          <w:bCs/>
          <w:color w:val="800000"/>
        </w:rPr>
      </w:pPr>
      <w:r>
        <w:rPr>
          <w:i/>
          <w:iCs/>
          <w:color w:val="800000"/>
        </w:rPr>
        <w:t>String</w:t>
      </w:r>
      <w:r>
        <w:rPr>
          <w:color w:val="800000"/>
        </w:rPr>
        <w:t xml:space="preserve"> = (</w:t>
      </w:r>
      <w:r>
        <w:rPr>
          <w:i/>
          <w:iCs/>
          <w:color w:val="800000"/>
        </w:rPr>
        <w:t>Digit</w:t>
      </w:r>
      <w:r>
        <w:rPr>
          <w:color w:val="800000"/>
        </w:rPr>
        <w:t xml:space="preserve"> | </w:t>
      </w:r>
      <w:r>
        <w:rPr>
          <w:i/>
          <w:iCs/>
          <w:color w:val="800000"/>
        </w:rPr>
        <w:t>Letter</w:t>
      </w:r>
      <w:r>
        <w:rPr>
          <w:color w:val="800000"/>
        </w:rPr>
        <w:t>) {</w:t>
      </w:r>
      <w:r>
        <w:rPr>
          <w:i/>
          <w:iCs/>
          <w:color w:val="800000"/>
        </w:rPr>
        <w:t>Digit</w:t>
      </w:r>
      <w:r>
        <w:rPr>
          <w:color w:val="800000"/>
        </w:rPr>
        <w:t xml:space="preserve"> | </w:t>
      </w:r>
      <w:r>
        <w:rPr>
          <w:i/>
          <w:iCs/>
          <w:color w:val="800000"/>
        </w:rPr>
        <w:t>Letter</w:t>
      </w:r>
      <w:r>
        <w:rPr>
          <w:color w:val="800000"/>
        </w:rPr>
        <w:t xml:space="preserve">} | </w:t>
      </w:r>
      <w:r>
        <w:rPr>
          <w:b/>
          <w:bCs/>
          <w:color w:val="800000"/>
        </w:rPr>
        <w:t>'"'</w:t>
      </w:r>
      <w:r>
        <w:rPr>
          <w:color w:val="800000"/>
        </w:rPr>
        <w:t xml:space="preserve"> </w:t>
      </w:r>
      <w:r>
        <w:rPr>
          <w:i/>
          <w:iCs/>
          <w:color w:val="800000"/>
        </w:rPr>
        <w:t>Character</w:t>
      </w:r>
      <w:r>
        <w:rPr>
          <w:color w:val="800000"/>
        </w:rPr>
        <w:t xml:space="preserve"> {</w:t>
      </w:r>
      <w:r>
        <w:rPr>
          <w:i/>
          <w:iCs/>
          <w:color w:val="800000"/>
        </w:rPr>
        <w:t>Character</w:t>
      </w:r>
      <w:r>
        <w:rPr>
          <w:color w:val="800000"/>
        </w:rPr>
        <w:t xml:space="preserve">} </w:t>
      </w:r>
      <w:r>
        <w:rPr>
          <w:b/>
          <w:bCs/>
          <w:color w:val="800000"/>
        </w:rPr>
        <w:t>'"'</w:t>
      </w:r>
    </w:p>
    <w:p>
      <w:pPr>
        <w:pStyle w:val="Normal"/>
        <w:jc w:val="both"/>
        <w:rPr>
          <w:color w:val="800000"/>
        </w:rPr>
      </w:pPr>
      <w:r>
        <w:rPr>
          <w:color w:val="800000"/>
        </w:rPr>
      </w:r>
    </w:p>
    <w:p>
      <w:pPr>
        <w:pStyle w:val="Normal"/>
        <w:jc w:val="both"/>
        <w:rPr>
          <w:color w:val="800000"/>
        </w:rPr>
      </w:pPr>
      <w:r>
        <w:rPr>
          <w:color w:val="800000"/>
        </w:rPr>
        <w:t>Правила синтаксического анализа:</w:t>
      </w:r>
    </w:p>
    <w:p>
      <w:pPr>
        <w:pStyle w:val="Normal"/>
        <w:jc w:val="both"/>
        <w:rPr>
          <w:i/>
          <w:iCs/>
          <w:color w:val="800000"/>
        </w:rPr>
      </w:pPr>
      <w:r>
        <w:rPr>
          <w:i/>
          <w:iCs/>
          <w:color w:val="800000"/>
        </w:rPr>
        <w:t>CompositeCommand</w:t>
      </w:r>
      <w:r>
        <w:rPr>
          <w:color w:val="800000"/>
        </w:rPr>
        <w:t xml:space="preserve"> = </w:t>
      </w:r>
      <w:r>
        <w:rPr>
          <w:i/>
          <w:iCs/>
          <w:color w:val="800000"/>
        </w:rPr>
        <w:t>Command</w:t>
      </w:r>
      <w:r>
        <w:rPr>
          <w:color w:val="800000"/>
        </w:rPr>
        <w:t xml:space="preserve"> | </w:t>
      </w:r>
      <w:r>
        <w:rPr>
          <w:i/>
          <w:iCs/>
          <w:color w:val="800000"/>
        </w:rPr>
        <w:t>Command</w:t>
      </w:r>
      <w:r>
        <w:rPr>
          <w:color w:val="800000"/>
        </w:rPr>
        <w:t xml:space="preserve"> </w:t>
      </w:r>
      <w:r>
        <w:rPr>
          <w:b/>
          <w:bCs/>
          <w:color w:val="800000"/>
        </w:rPr>
        <w:t>'|'</w:t>
      </w:r>
      <w:r>
        <w:rPr>
          <w:color w:val="800000"/>
        </w:rPr>
        <w:t xml:space="preserve"> </w:t>
      </w:r>
      <w:r>
        <w:rPr>
          <w:i/>
          <w:iCs/>
          <w:color w:val="800000"/>
        </w:rPr>
        <w:t>CompositeCommand</w:t>
      </w:r>
      <w:r>
        <w:rPr>
          <w:color w:val="800000"/>
        </w:rPr>
        <w:t xml:space="preserve"> | </w:t>
      </w:r>
      <w:r>
        <w:rPr>
          <w:i/>
          <w:iCs/>
          <w:color w:val="800000"/>
        </w:rPr>
        <w:t>Command</w:t>
      </w:r>
      <w:r>
        <w:rPr>
          <w:color w:val="800000"/>
        </w:rPr>
        <w:t xml:space="preserve"> </w:t>
      </w:r>
      <w:r>
        <w:rPr>
          <w:b/>
          <w:bCs/>
          <w:color w:val="800000"/>
        </w:rPr>
        <w:t>'|&amp;'</w:t>
      </w:r>
      <w:r>
        <w:rPr>
          <w:color w:val="800000"/>
        </w:rPr>
        <w:t xml:space="preserve"> </w:t>
      </w:r>
      <w:r>
        <w:rPr>
          <w:i/>
          <w:iCs/>
          <w:color w:val="800000"/>
        </w:rPr>
        <w:t>CompositeCommand</w:t>
      </w:r>
    </w:p>
    <w:p>
      <w:pPr>
        <w:pStyle w:val="Normal"/>
        <w:jc w:val="both"/>
        <w:rPr>
          <w:i/>
          <w:iCs/>
          <w:color w:val="800000"/>
        </w:rPr>
      </w:pPr>
      <w:r>
        <w:rPr>
          <w:i/>
          <w:iCs/>
          <w:color w:val="800000"/>
        </w:rPr>
        <w:t>Command</w:t>
      </w:r>
      <w:r>
        <w:rPr>
          <w:color w:val="800000"/>
        </w:rPr>
        <w:t xml:space="preserve"> = </w:t>
      </w:r>
      <w:r>
        <w:rPr>
          <w:i/>
          <w:iCs/>
          <w:color w:val="800000"/>
        </w:rPr>
        <w:t>Word</w:t>
      </w:r>
      <w:r>
        <w:rPr>
          <w:color w:val="800000"/>
        </w:rPr>
        <w:t xml:space="preserve"> </w:t>
      </w:r>
      <w:r>
        <w:rPr>
          <w:i/>
          <w:iCs/>
          <w:color w:val="800000"/>
        </w:rPr>
        <w:t>Word</w:t>
      </w:r>
      <w:r>
        <w:rPr>
          <w:color w:val="800000"/>
        </w:rPr>
        <w:t xml:space="preserve"> | </w:t>
      </w:r>
      <w:r>
        <w:rPr>
          <w:i/>
          <w:iCs/>
          <w:color w:val="800000"/>
        </w:rPr>
        <w:t>Word</w:t>
      </w:r>
      <w:r>
        <w:rPr>
          <w:color w:val="800000"/>
        </w:rPr>
        <w:t xml:space="preserve"> </w:t>
      </w:r>
      <w:r>
        <w:rPr>
          <w:i/>
          <w:iCs/>
          <w:color w:val="800000"/>
        </w:rPr>
        <w:t>Word</w:t>
      </w:r>
      <w:r>
        <w:rPr>
          <w:color w:val="800000"/>
        </w:rPr>
        <w:t xml:space="preserve"> </w:t>
      </w:r>
      <w:r>
        <w:rPr>
          <w:i/>
          <w:iCs/>
          <w:color w:val="800000"/>
        </w:rPr>
        <w:t>Args</w:t>
      </w:r>
      <w:r>
        <w:rPr>
          <w:color w:val="800000"/>
        </w:rPr>
        <w:t xml:space="preserve"> | </w:t>
      </w:r>
      <w:r>
        <w:rPr>
          <w:i/>
          <w:iCs/>
          <w:color w:val="800000"/>
        </w:rPr>
        <w:t>Word</w:t>
      </w:r>
      <w:r>
        <w:rPr>
          <w:color w:val="800000"/>
        </w:rPr>
        <w:t xml:space="preserve"> | </w:t>
      </w:r>
      <w:r>
        <w:rPr>
          <w:i/>
          <w:iCs/>
          <w:color w:val="800000"/>
        </w:rPr>
        <w:t>Word</w:t>
      </w:r>
      <w:r>
        <w:rPr>
          <w:color w:val="800000"/>
        </w:rPr>
        <w:t xml:space="preserve"> </w:t>
      </w:r>
      <w:r>
        <w:rPr>
          <w:i/>
          <w:iCs/>
          <w:color w:val="800000"/>
        </w:rPr>
        <w:t>Args</w:t>
      </w:r>
    </w:p>
    <w:p>
      <w:pPr>
        <w:pStyle w:val="Normal"/>
        <w:jc w:val="both"/>
        <w:rPr>
          <w:i/>
          <w:iCs/>
          <w:color w:val="800000"/>
        </w:rPr>
      </w:pPr>
      <w:r>
        <w:rPr>
          <w:i w:val="false"/>
          <w:iCs w:val="false"/>
          <w:color w:val="800000"/>
        </w:rPr>
        <w:t xml:space="preserve">Args = </w:t>
      </w:r>
      <w:r>
        <w:rPr>
          <w:i/>
          <w:iCs/>
          <w:color w:val="800000"/>
        </w:rPr>
        <w:t>String</w:t>
      </w:r>
      <w:r>
        <w:rPr>
          <w:i w:val="false"/>
          <w:iCs w:val="false"/>
          <w:color w:val="800000"/>
        </w:rPr>
        <w:t xml:space="preserve"> | </w:t>
      </w:r>
      <w:r>
        <w:rPr>
          <w:i/>
          <w:iCs/>
          <w:color w:val="800000"/>
        </w:rPr>
        <w:t>String</w:t>
      </w:r>
      <w:r>
        <w:rPr>
          <w:i w:val="false"/>
          <w:iCs w:val="false"/>
          <w:color w:val="800000"/>
        </w:rPr>
        <w:t xml:space="preserve"> </w:t>
      </w:r>
      <w:r>
        <w:rPr>
          <w:i/>
          <w:iCs/>
          <w:color w:val="800000"/>
        </w:rPr>
        <w:t>Args</w:t>
      </w:r>
    </w:p>
    <w:p>
      <w:pPr>
        <w:pStyle w:val="Normal"/>
        <w:jc w:val="both"/>
        <w:rPr>
          <w:color w:val="800000"/>
        </w:rPr>
      </w:pPr>
      <w:r>
        <w:rPr>
          <w:color w:val="800000"/>
        </w:rPr>
      </w:r>
    </w:p>
    <w:p>
      <w:pPr>
        <w:pStyle w:val="Normal"/>
        <w:jc w:val="both"/>
        <w:rPr>
          <w:color w:val="800000"/>
        </w:rPr>
      </w:pPr>
      <w:r>
        <w:rPr>
          <w:color w:val="800000"/>
        </w:rPr>
        <w:t xml:space="preserve">Замечание по </w:t>
      </w:r>
      <w:r>
        <w:rPr>
          <w:i/>
          <w:iCs/>
          <w:color w:val="800000"/>
        </w:rPr>
        <w:t>Command</w:t>
      </w:r>
      <w:r>
        <w:rPr>
          <w:color w:val="800000"/>
        </w:rPr>
        <w:t>:</w:t>
      </w:r>
    </w:p>
    <w:p>
      <w:pPr>
        <w:pStyle w:val="Normal"/>
        <w:jc w:val="both"/>
        <w:rPr>
          <w:color w:val="800000"/>
        </w:rPr>
      </w:pPr>
      <w:r>
        <w:rPr>
          <w:color w:val="800000"/>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и более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будет не LL(1), а LL(N) (в нашем случае, LL(4)).</w:t>
      </w:r>
    </w:p>
    <w:p>
      <w:pPr>
        <w:pStyle w:val="Normal"/>
        <w:jc w:val="both"/>
        <w:rPr>
          <w:color w:val="800000"/>
        </w:rPr>
      </w:pPr>
      <w:r>
        <w:rPr>
          <w:color w:val="800000"/>
        </w:rPr>
      </w:r>
    </w:p>
    <w:p>
      <w:pPr>
        <w:pStyle w:val="Normal"/>
        <w:jc w:val="both"/>
        <w:rPr>
          <w:color w:val="800000"/>
        </w:rPr>
      </w:pPr>
      <w:r>
        <w:rPr>
          <w:color w:val="800000"/>
        </w:rPr>
        <w:t>Упрощенная реализация:</w:t>
      </w:r>
    </w:p>
    <w:p>
      <w:pPr>
        <w:pStyle w:val="Normal"/>
        <w:jc w:val="both"/>
        <w:rPr>
          <w:color w:val="800000"/>
        </w:rPr>
      </w:pPr>
      <w:r>
        <w:rPr>
          <w:color w:val="800000"/>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Normal"/>
        <w:numPr>
          <w:ilvl w:val="0"/>
          <w:numId w:val="4"/>
        </w:numPr>
        <w:jc w:val="both"/>
        <w:rPr>
          <w:color w:val="800000"/>
        </w:rPr>
      </w:pPr>
      <w:r>
        <w:rPr>
          <w:color w:val="800000"/>
        </w:rPr>
        <w:t>Разбираем ввод пользователя на лексемы при помощи лексического анализатора.</w:t>
      </w:r>
    </w:p>
    <w:p>
      <w:pPr>
        <w:pStyle w:val="Normal"/>
        <w:numPr>
          <w:ilvl w:val="0"/>
          <w:numId w:val="4"/>
        </w:numPr>
        <w:jc w:val="both"/>
        <w:rPr>
          <w:color w:val="800000"/>
        </w:rPr>
      </w:pPr>
      <w:r>
        <w:rPr>
          <w:color w:val="800000"/>
        </w:rPr>
        <w:t xml:space="preserve">В списке лексем, полученном выше, находим лексемы со значениями </w:t>
      </w:r>
      <w:r>
        <w:rPr>
          <w:b/>
          <w:bCs/>
          <w:color w:val="800000"/>
        </w:rPr>
        <w:t>'|'</w:t>
      </w:r>
      <w:r>
        <w:rPr>
          <w:color w:val="800000"/>
        </w:rPr>
        <w:t xml:space="preserve"> и </w:t>
      </w:r>
      <w:bookmarkStart w:id="1" w:name="__DdeLink__202_87061130"/>
      <w:r>
        <w:rPr>
          <w:b/>
          <w:bCs/>
          <w:color w:val="800000"/>
        </w:rPr>
        <w:t>'|&amp;'</w:t>
      </w:r>
      <w:bookmarkEnd w:id="1"/>
      <w:r>
        <w:rPr>
          <w:b w:val="false"/>
          <w:bCs w:val="false"/>
          <w:color w:val="800000"/>
        </w:rPr>
        <w:t>.</w:t>
      </w:r>
      <w:r>
        <w:rPr>
          <w:color w:val="800000"/>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Normal"/>
        <w:numPr>
          <w:ilvl w:val="0"/>
          <w:numId w:val="4"/>
        </w:numPr>
        <w:jc w:val="both"/>
        <w:rPr>
          <w:i w:val="false"/>
          <w:iCs w:val="false"/>
          <w:color w:val="800000"/>
        </w:rPr>
      </w:pPr>
      <w:r>
        <w:rPr>
          <w:color w:val="800000"/>
        </w:rPr>
        <w:t xml:space="preserve">Для каждой полученной подгруппы проводим синтаксический анализ, причем начальным нетерминальным символом будет </w:t>
      </w:r>
      <w:r>
        <w:rPr>
          <w:i/>
          <w:iCs/>
          <w:color w:val="800000"/>
        </w:rPr>
        <w:t>Command</w:t>
      </w:r>
      <w:r>
        <w:rPr>
          <w:i w:val="false"/>
          <w:iCs w:val="false"/>
          <w:color w:val="800000"/>
        </w:rPr>
        <w:t>.</w:t>
      </w:r>
    </w:p>
    <w:p>
      <w:pPr>
        <w:pStyle w:val="Normal"/>
        <w:numPr>
          <w:ilvl w:val="0"/>
          <w:numId w:val="4"/>
        </w:numPr>
        <w:jc w:val="both"/>
        <w:rPr>
          <w:i w:val="false"/>
          <w:iCs w:val="false"/>
          <w:color w:val="800000"/>
        </w:rPr>
      </w:pPr>
      <w:r>
        <w:rPr>
          <w:i w:val="false"/>
          <w:iCs w:val="false"/>
          <w:color w:val="800000"/>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color w:val="800000"/>
        </w:rPr>
        <w:t>'|'</w:t>
      </w:r>
      <w:r>
        <w:rPr>
          <w:i w:val="false"/>
          <w:iCs w:val="false"/>
          <w:color w:val="800000"/>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color w:val="800000"/>
        </w:rPr>
        <w:t>'|&amp;'</w:t>
      </w:r>
      <w:r>
        <w:rPr>
          <w:i w:val="false"/>
          <w:iCs w:val="false"/>
          <w:color w:val="800000"/>
        </w:rPr>
        <w:t>, то вывод и вывод ошибок предыдущей команды подаются на вход последующей команды в порядке их возникновения.</w:t>
      </w:r>
    </w:p>
    <w:p>
      <w:pPr>
        <w:pStyle w:val="Normal"/>
        <w:numPr>
          <w:ilvl w:val="0"/>
          <w:numId w:val="4"/>
        </w:numPr>
        <w:jc w:val="both"/>
        <w:rPr>
          <w:i w:val="false"/>
          <w:iCs w:val="false"/>
          <w:color w:val="800000"/>
        </w:rPr>
      </w:pPr>
      <w:r>
        <w:rPr>
          <w:i w:val="false"/>
          <w:iCs w:val="false"/>
          <w:color w:val="800000"/>
        </w:rPr>
        <w:t>После построения цепочки команд и связей между ними создаем обертку для выполнения этой цепочки — контекст выполнения.</w:t>
      </w:r>
    </w:p>
    <w:p>
      <w:pPr>
        <w:pStyle w:val="Normal"/>
        <w:jc w:val="both"/>
        <w:rPr>
          <w:color w:val="800000"/>
        </w:rPr>
      </w:pPr>
      <w:r>
        <w:rPr>
          <w:color w:val="800000"/>
        </w:rPr>
      </w:r>
    </w:p>
    <w:p>
      <w:pPr>
        <w:pStyle w:val="Normal"/>
        <w:jc w:val="center"/>
        <w:rPr/>
      </w:pPr>
      <w:r>
        <w:rPr/>
        <w:t>Команды cli сервиса</w:t>
      </w:r>
    </w:p>
    <w:p>
      <w:pPr>
        <w:pStyle w:val="Normal"/>
        <w:jc w:val="both"/>
        <w:rPr/>
      </w:pPr>
      <w:r>
        <w:rPr/>
      </w:r>
    </w:p>
    <w:p>
      <w:pPr>
        <w:pStyle w:val="Normal"/>
        <w:jc w:val="both"/>
        <w:rPr/>
      </w:pPr>
      <w:r>
        <w:rPr/>
        <w:tab/>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Normal"/>
        <w:jc w:val="both"/>
        <w:rPr/>
      </w:pPr>
      <w:r>
        <w:rPr/>
      </w:r>
    </w:p>
    <w:tbl>
      <w:tblPr>
        <w:jc w:val="left"/>
        <w:tblInd w:w="6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620"/>
      </w:tblGrid>
      <w:tr>
        <w:trPr>
          <w:cantSplit w:val="false"/>
        </w:trPr>
        <w:tc>
          <w:tcPr>
            <w:tcW w:w="9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login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вход (аутентификация) пользователя в системе</w:t>
            </w:r>
          </w:p>
          <w:p>
            <w:pPr>
              <w:pStyle w:val="Style20"/>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20"/>
              <w:jc w:val="both"/>
              <w:rPr/>
            </w:pPr>
            <w:r>
              <w:rPr/>
              <w:t>Режимы CLI: режим работы без аутентификации</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logout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выход пользователя из системы</w:t>
            </w:r>
          </w:p>
          <w:p>
            <w:pPr>
              <w:pStyle w:val="Style20"/>
              <w:jc w:val="both"/>
              <w:rPr>
                <w:b/>
                <w:bCs/>
              </w:rPr>
            </w:pPr>
            <w:r>
              <w:rPr/>
              <w:t xml:space="preserve">Использование: </w:t>
            </w:r>
            <w:r>
              <w:rPr>
                <w:b/>
                <w:bCs/>
              </w:rPr>
              <w:t>logout</w:t>
            </w:r>
          </w:p>
          <w:p>
            <w:pPr>
              <w:pStyle w:val="Style20"/>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bye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завершение работы терминального клиента</w:t>
            </w:r>
          </w:p>
          <w:p>
            <w:pPr>
              <w:pStyle w:val="Style20"/>
              <w:jc w:val="both"/>
              <w:rPr>
                <w:b/>
                <w:bCs/>
              </w:rPr>
            </w:pPr>
            <w:r>
              <w:rPr/>
              <w:t xml:space="preserve">Использование: </w:t>
            </w:r>
            <w:r>
              <w:rPr>
                <w:b/>
                <w:bCs/>
              </w:rPr>
              <w:t>bye</w:t>
            </w:r>
          </w:p>
          <w:p>
            <w:pPr>
              <w:pStyle w:val="Style20"/>
              <w:jc w:val="both"/>
              <w:rPr/>
            </w:pPr>
            <w:r>
              <w:rPr/>
              <w:t>Примечание: заглушка для команды терминального клиента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configure terminal</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переход в режим глобальной настройки</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ping</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отправка ICMP эхо-запросов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 xml:space="preserve">Режимы CLI: </w:t>
            </w:r>
            <w:bookmarkStart w:id="2" w:name="__DdeLink__250_323180028"/>
            <w:bookmarkEnd w:id="2"/>
            <w:r>
              <w:rPr/>
              <w:t>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interface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переход в режим настройки интерфейса</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interface range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переход в режим настройки группы интерфейсов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создание VLAN и переход в режим настройки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no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удаление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настройка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no 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настройка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no 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удаление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end</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возврат в фундаментальный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exit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возврат в предыдущий по уровню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b/>
                <w:bCs/>
              </w:rPr>
            </w:pPr>
            <w:r>
              <w:rPr>
                <w:b/>
                <w:bCs/>
              </w:rPr>
              <w:t>show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Style20"/>
              <w:jc w:val="both"/>
              <w:rPr/>
            </w:pPr>
            <w:r>
              <w:rPr/>
              <w:t>Определение: вывод информации о VLAN, созданных на устройстве</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да</w:t>
            </w:r>
          </w:p>
        </w:tc>
      </w:tr>
    </w:tbl>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 w:type="paragraph" w:styleId="Style21">
    <w:name w:val="Заголовок таблицы"/>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