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специальный процесс, накапливающий вывод пользователя. В этот же специальный процесс мы будем накапливать вывод ошибок в случае перенаправления вывода ошибок. Когда команда закончит свое выполнение весь вывод, накопленный в этом специальном процессе,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 xml:space="preserve">Если запрос от клиента корректен, то будет создана цепочка команд, соответствующая запросу от клиента. </w:t>
      </w:r>
      <w:r>
        <w:rPr/>
        <w:t>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специальному процессу накопителю сообщение о том, что весь накопленный вывод можно считать вводом.</w:t>
      </w:r>
    </w:p>
    <w:p>
      <w:pPr>
        <w:pStyle w:val="Normal"/>
        <w:numPr>
          <w:ilvl w:val="0"/>
          <w:numId w:val="2"/>
        </w:numPr>
        <w:jc w:val="both"/>
        <w:rPr/>
      </w:pPr>
      <w:r>
        <w:rPr/>
        <w:t xml:space="preserve">После разбора запроса от клиента и создания цепочки команд, эта цепочка команд передается контексту выполнения; контекст выполнения — это отдельный процесс, выполняющий каждую команду из цепочки в своем процессе. </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Разбор ввода пользователя и построения цепочки команд</w:t>
      </w:r>
    </w:p>
    <w:p>
      <w:pPr>
        <w:pStyle w:val="Normal"/>
        <w:jc w:val="both"/>
        <w:rPr/>
      </w:pPr>
      <w:r>
        <w:rPr/>
      </w:r>
    </w:p>
    <w:p>
      <w:pPr>
        <w:pStyle w:val="Normal"/>
        <w:jc w:val="both"/>
        <w:rPr/>
      </w:pPr>
      <w:r>
        <w:rPr/>
        <w:tab/>
        <w:t>При разборе ввода пользователя и построение цепочки команд мы будем делать следующие шаги:</w:t>
      </w:r>
    </w:p>
    <w:p>
      <w:pPr>
        <w:pStyle w:val="Normal"/>
        <w:numPr>
          <w:ilvl w:val="0"/>
          <w:numId w:val="3"/>
        </w:numPr>
        <w:jc w:val="both"/>
        <w:rPr/>
      </w:pPr>
      <w:r>
        <w:rPr/>
        <w:t>Разбираем ввод пользователя на лексемы при помощи лексического анализатора.</w:t>
      </w:r>
    </w:p>
    <w:p>
      <w:pPr>
        <w:pStyle w:val="Normal"/>
        <w:numPr>
          <w:ilvl w:val="0"/>
          <w:numId w:val="3"/>
        </w:numPr>
        <w:jc w:val="both"/>
        <w:rPr/>
      </w:pPr>
      <w:r>
        <w:rPr/>
        <w:t>Разбираем полученный набор лексем и строим AST при помощи синтаксического анализатора (LL(1)).</w:t>
      </w:r>
    </w:p>
    <w:p>
      <w:pPr>
        <w:pStyle w:val="Normal"/>
        <w:numPr>
          <w:ilvl w:val="0"/>
          <w:numId w:val="3"/>
        </w:numPr>
        <w:jc w:val="both"/>
        <w:rPr/>
      </w:pPr>
      <w:r>
        <w:rPr/>
        <w:t>По построенной AST генерируем вызовы соответствующих команд (с соответствующими аргументами) и строим связи между этими командами (на основе перенаправления вывода и вывода ошибок).</w:t>
      </w:r>
    </w:p>
    <w:p>
      <w:pPr>
        <w:pStyle w:val="Normal"/>
        <w:jc w:val="both"/>
        <w:rPr/>
      </w:pPr>
      <w:r>
        <w:rPr/>
      </w:r>
    </w:p>
    <w:p>
      <w:pPr>
        <w:pStyle w:val="Normal"/>
        <w:jc w:val="both"/>
        <w:rPr/>
      </w:pPr>
      <w:r>
        <w:rPr/>
        <w:t>Правила лексического анализа:</w:t>
      </w:r>
    </w:p>
    <w:p>
      <w:pPr>
        <w:pStyle w:val="Normal"/>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Normal"/>
        <w:jc w:val="both"/>
        <w:rPr/>
      </w:pPr>
      <w:r>
        <w:rPr>
          <w:i/>
          <w:iCs/>
        </w:rPr>
        <w:t>Word</w:t>
      </w:r>
      <w:r>
        <w:rPr/>
        <w:t xml:space="preserve"> = </w:t>
      </w:r>
      <w:r>
        <w:rPr>
          <w:i/>
          <w:iCs/>
        </w:rPr>
        <w:t>Letter</w:t>
      </w:r>
      <w:r>
        <w:rPr/>
        <w:t xml:space="preserve"> {</w:t>
      </w:r>
      <w:r>
        <w:rPr>
          <w:i/>
          <w:iCs/>
        </w:rPr>
        <w:t>Letter</w:t>
      </w:r>
      <w:r>
        <w:rPr/>
        <w:t>}</w:t>
      </w:r>
    </w:p>
    <w:p>
      <w:pPr>
        <w:pStyle w:val="Normal"/>
        <w:jc w:val="both"/>
        <w:rPr/>
      </w:pPr>
      <w:r>
        <w:rPr>
          <w:i/>
          <w:iCs/>
        </w:rPr>
        <w:t>Character</w:t>
      </w:r>
      <w:r>
        <w:rPr/>
        <w:t xml:space="preserve"> = …</w:t>
      </w:r>
    </w:p>
    <w:p>
      <w:pPr>
        <w:pStyle w:val="Normal"/>
        <w:jc w:val="both"/>
        <w:rPr>
          <w:b/>
          <w:bCs/>
        </w:rPr>
      </w:pPr>
      <w:r>
        <w:rPr>
          <w:i/>
          <w:iCs/>
        </w:rPr>
        <w:t>Digit</w:t>
      </w:r>
      <w:r>
        <w:rPr/>
        <w:t xml:space="preserve"> = </w:t>
      </w:r>
      <w:r>
        <w:rPr>
          <w:b/>
          <w:bCs/>
        </w:rPr>
        <w:t>0</w:t>
      </w:r>
      <w:r>
        <w:rPr/>
        <w:t xml:space="preserve"> | … | </w:t>
      </w:r>
      <w:r>
        <w:rPr>
          <w:b/>
          <w:bCs/>
        </w:rPr>
        <w:t>9</w:t>
      </w:r>
    </w:p>
    <w:p>
      <w:pPr>
        <w:pStyle w:val="Normal"/>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t xml:space="preserve"> </w:t>
      </w:r>
      <w:r>
        <w:rPr>
          <w:i/>
          <w:iCs/>
        </w:rPr>
        <w:t>Character</w:t>
      </w:r>
      <w:r>
        <w:rPr/>
        <w:t xml:space="preserve"> {</w:t>
      </w:r>
      <w:r>
        <w:rPr>
          <w:i/>
          <w:iCs/>
        </w:rPr>
        <w:t>Character</w:t>
      </w:r>
      <w:r>
        <w:rPr/>
        <w:t xml:space="preserve">} </w:t>
      </w:r>
      <w:r>
        <w:rPr>
          <w:b/>
          <w:bCs/>
        </w:rPr>
        <w:t>'"'</w:t>
      </w:r>
    </w:p>
    <w:p>
      <w:pPr>
        <w:pStyle w:val="Normal"/>
        <w:jc w:val="both"/>
        <w:rPr/>
      </w:pPr>
      <w:r>
        <w:rPr/>
      </w:r>
    </w:p>
    <w:p>
      <w:pPr>
        <w:pStyle w:val="Normal"/>
        <w:jc w:val="both"/>
        <w:rPr/>
      </w:pPr>
      <w:r>
        <w:rPr/>
        <w:t>Правила синтаксического анализа:</w:t>
      </w:r>
    </w:p>
    <w:p>
      <w:pPr>
        <w:pStyle w:val="Normal"/>
        <w:jc w:val="both"/>
        <w:rPr>
          <w:i/>
          <w:iCs/>
        </w:rPr>
      </w:pPr>
      <w:r>
        <w:rPr>
          <w:i/>
          <w:iCs/>
        </w:rPr>
        <w:t>CompositeCommand</w:t>
      </w:r>
      <w:r>
        <w:rPr/>
        <w:t xml:space="preserve"> = </w:t>
      </w:r>
      <w:r>
        <w:rPr>
          <w:i/>
          <w:iCs/>
        </w:rPr>
        <w:t>Command</w:t>
      </w:r>
      <w:r>
        <w:rPr/>
        <w:t xml:space="preserve"> | </w:t>
      </w:r>
      <w:r>
        <w:rPr>
          <w:i/>
          <w:iCs/>
        </w:rPr>
        <w:t>Command</w:t>
      </w:r>
      <w:r>
        <w:rPr/>
        <w:t xml:space="preserve"> </w:t>
      </w:r>
      <w:r>
        <w:rPr>
          <w:b/>
          <w:bCs/>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Normal"/>
        <w:jc w:val="both"/>
        <w:rPr>
          <w:i/>
          <w:iCs/>
        </w:rPr>
      </w:pPr>
      <w:r>
        <w:rPr>
          <w:i/>
          <w:iCs/>
        </w:rPr>
        <w:t>Command</w:t>
      </w:r>
      <w:r>
        <w:rPr/>
        <w:t xml:space="preserve"> = </w:t>
      </w:r>
      <w:r>
        <w:rPr>
          <w:i/>
          <w:iCs/>
        </w:rPr>
        <w:t>Word</w:t>
      </w:r>
      <w:r>
        <w:rPr/>
        <w:t xml:space="preserve"> </w:t>
      </w:r>
      <w:r>
        <w:rPr>
          <w:i/>
          <w:iCs/>
        </w:rPr>
        <w:t>Word</w:t>
      </w:r>
      <w:r>
        <w:rPr/>
        <w:t xml:space="preserve"> | </w:t>
      </w:r>
      <w:r>
        <w:rPr>
          <w:i/>
          <w:iCs/>
        </w:rPr>
        <w:t>Word</w:t>
      </w:r>
      <w:r>
        <w:rPr/>
        <w:t xml:space="preserve"> </w:t>
      </w:r>
      <w:r>
        <w:rPr>
          <w:i/>
          <w:iCs/>
        </w:rPr>
        <w:t>Word</w:t>
      </w:r>
      <w:r>
        <w:rPr/>
        <w:t xml:space="preserve"> </w:t>
      </w:r>
      <w:r>
        <w:rPr>
          <w:i/>
          <w:iCs/>
        </w:rPr>
        <w:t>Args</w:t>
      </w:r>
      <w:r>
        <w:rPr/>
        <w:t xml:space="preserve"> | </w:t>
      </w:r>
      <w:r>
        <w:rPr>
          <w:i/>
          <w:iCs/>
        </w:rPr>
        <w:t>Word</w:t>
      </w:r>
      <w:r>
        <w:rPr/>
        <w:t xml:space="preserve"> | </w:t>
      </w:r>
      <w:r>
        <w:rPr>
          <w:i/>
          <w:iCs/>
        </w:rPr>
        <w:t>Word</w:t>
      </w:r>
      <w:r>
        <w:rPr/>
        <w:t xml:space="preserve"> </w:t>
      </w:r>
      <w:r>
        <w:rPr>
          <w:i/>
          <w:iCs/>
        </w:rPr>
        <w:t>Args</w:t>
      </w:r>
    </w:p>
    <w:p>
      <w:pPr>
        <w:pStyle w:val="Normal"/>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Normal"/>
        <w:jc w:val="both"/>
        <w:rPr/>
      </w:pPr>
      <w:r>
        <w:rPr/>
      </w:r>
    </w:p>
    <w:p>
      <w:pPr>
        <w:pStyle w:val="Normal"/>
        <w:jc w:val="both"/>
        <w:rPr/>
      </w:pPr>
      <w:r>
        <w:rPr/>
        <w:t xml:space="preserve">Замечание по </w:t>
      </w:r>
      <w:r>
        <w:rPr>
          <w:i/>
          <w:iCs/>
        </w:rPr>
        <w:t>Command</w:t>
      </w:r>
      <w:r>
        <w:rPr/>
        <w:t>:</w:t>
      </w:r>
    </w:p>
    <w:p>
      <w:pPr>
        <w:pStyle w:val="Normal"/>
        <w:jc w:val="both"/>
        <w:rPr/>
      </w:pPr>
      <w:r>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будет не LL(1), а LL(N) (в нашем случае, LL(2)).</w:t>
      </w:r>
    </w:p>
    <w:p>
      <w:pPr>
        <w:pStyle w:val="Normal"/>
        <w:jc w:val="both"/>
        <w:rPr/>
      </w:pPr>
      <w:r>
        <w:rPr/>
      </w:r>
    </w:p>
    <w:p>
      <w:pPr>
        <w:pStyle w:val="Normal"/>
        <w:jc w:val="both"/>
        <w:rPr/>
      </w:pPr>
      <w:r>
        <w:rPr/>
        <w:t>Упрощенная реализация:</w:t>
      </w:r>
    </w:p>
    <w:p>
      <w:pPr>
        <w:pStyle w:val="Normal"/>
        <w:jc w:val="both"/>
        <w:rPr/>
      </w:pPr>
      <w:r>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Normal"/>
        <w:numPr>
          <w:ilvl w:val="0"/>
          <w:numId w:val="4"/>
        </w:numPr>
        <w:jc w:val="both"/>
        <w:rPr/>
      </w:pPr>
      <w:r>
        <w:rPr/>
        <w:t>Разбираем ввод пользователя на лексемы при помощи лексического анализатора.</w:t>
      </w:r>
    </w:p>
    <w:p>
      <w:pPr>
        <w:pStyle w:val="Normal"/>
        <w:numPr>
          <w:ilvl w:val="0"/>
          <w:numId w:val="4"/>
        </w:numPr>
        <w:jc w:val="both"/>
        <w:rPr/>
      </w:pPr>
      <w:r>
        <w:rPr/>
        <w:t xml:space="preserve">В списке лексем, полученном выше, находим лексемы со значениями </w:t>
      </w:r>
      <w:r>
        <w:rPr>
          <w:b/>
          <w:bCs/>
        </w:rPr>
        <w:t>'|'</w:t>
      </w:r>
      <w:r>
        <w:rPr/>
        <w:t xml:space="preserve"> и </w:t>
      </w:r>
      <w:bookmarkStart w:id="1" w:name="__DdeLink__202_87061130"/>
      <w:r>
        <w:rPr>
          <w:b/>
          <w:bCs/>
        </w:rPr>
        <w:t>'|&amp;'</w:t>
      </w:r>
      <w:bookmarkEnd w:id="1"/>
      <w:r>
        <w:rPr>
          <w:b w:val="false"/>
          <w:bCs w:val="false"/>
        </w:rPr>
        <w:t>.</w:t>
      </w:r>
      <w:r>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Normal"/>
        <w:numPr>
          <w:ilvl w:val="0"/>
          <w:numId w:val="4"/>
        </w:numPr>
        <w:jc w:val="both"/>
        <w:rPr>
          <w:i w:val="false"/>
          <w:iCs w:val="false"/>
        </w:rPr>
      </w:pPr>
      <w:r>
        <w:rPr/>
        <w:t xml:space="preserve">Для каждой полученной подгруппы проводим синтаксический анализ, причем начальным нетерминальным символом будет </w:t>
      </w:r>
      <w:r>
        <w:rPr>
          <w:i/>
          <w:iCs/>
        </w:rPr>
        <w:t>Command</w:t>
      </w:r>
      <w:r>
        <w:rPr>
          <w:i w:val="false"/>
          <w:iCs w:val="false"/>
        </w:rPr>
        <w:t>.</w:t>
      </w:r>
    </w:p>
    <w:p>
      <w:pPr>
        <w:pStyle w:val="Normal"/>
        <w:numPr>
          <w:ilvl w:val="0"/>
          <w:numId w:val="4"/>
        </w:numPr>
        <w:jc w:val="both"/>
        <w:rPr>
          <w:i w:val="false"/>
          <w:iCs w:val="false"/>
        </w:rPr>
      </w:pPr>
      <w:r>
        <w:rPr>
          <w:i w:val="false"/>
          <w:iCs w:val="false"/>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rPr>
        <w:t>'|'</w:t>
      </w:r>
      <w:r>
        <w:rPr>
          <w:i w:val="false"/>
          <w:iCs w:val="false"/>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rPr>
        <w:t>'|&amp;'</w:t>
      </w:r>
      <w:r>
        <w:rPr>
          <w:i w:val="false"/>
          <w:iCs w:val="false"/>
        </w:rPr>
        <w:t>, то вывод и вывод ошибок предыдущей команды подаются на вход последующей команды в порядке их возникновения.</w:t>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