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  <w:sz w:val="48"/>
          <w:lang w:val="en-US" w:eastAsia="zh-CN"/>
        </w:rPr>
        <w:t>V11产品实操课程‘s</w:t>
      </w:r>
      <w:r>
        <w:rPr>
          <w:rFonts w:hint="eastAsia" w:ascii="阿里巴巴普惠体" w:hAnsi="阿里巴巴普惠体" w:eastAsia="阿里巴巴普惠体" w:cs="阿里巴巴普惠体"/>
          <w:b/>
          <w:sz w:val="48"/>
        </w:rPr>
        <w:t>材料使用说明</w:t>
      </w: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课程演示相关的模型、报表、仪表盘资源已导出为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xml</w:t>
      </w:r>
      <w:r>
        <w:rPr>
          <w:rFonts w:hint="eastAsia" w:ascii="阿里巴巴普惠体" w:hAnsi="阿里巴巴普惠体" w:eastAsia="阿里巴巴普惠体" w:cs="阿里巴巴普惠体"/>
        </w:rPr>
        <w:t>文件，通过导入xml文件到Smartbi环境可以恢复课程中演示到的数据源、数据模型、报表、仪表盘，实现完全的</w:t>
      </w:r>
      <w:r>
        <w:rPr>
          <w:rFonts w:hint="eastAsia" w:ascii="阿里巴巴普惠体" w:hAnsi="阿里巴巴普惠体" w:eastAsia="阿里巴巴普惠体" w:cs="阿里巴巴普惠体"/>
          <w:b/>
        </w:rPr>
        <w:t>可查看、可使用</w:t>
      </w:r>
      <w:r>
        <w:rPr>
          <w:rFonts w:hint="eastAsia" w:ascii="阿里巴巴普惠体" w:hAnsi="阿里巴巴普惠体" w:eastAsia="阿里巴巴普惠体" w:cs="阿里巴巴普惠体"/>
        </w:rPr>
        <w:t>需要以下</w:t>
      </w:r>
      <w:r>
        <w:rPr>
          <w:rFonts w:hint="eastAsia" w:ascii="阿里巴巴普惠体" w:hAnsi="阿里巴巴普惠体" w:eastAsia="阿里巴巴普惠体" w:cs="阿里巴巴普惠体"/>
          <w:b/>
        </w:rPr>
        <w:t>四</w:t>
      </w:r>
      <w:r>
        <w:rPr>
          <w:rFonts w:hint="eastAsia" w:ascii="阿里巴巴普惠体" w:hAnsi="阿里巴巴普惠体" w:eastAsia="阿里巴巴普惠体" w:cs="阿里巴巴普惠体"/>
        </w:rPr>
        <w:t>步：</w:t>
      </w: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bookmarkStart w:id="0" w:name="_GoBack"/>
      <w:bookmarkEnd w:id="0"/>
    </w:p>
    <w:p>
      <w:pPr>
        <w:spacing w:line="360" w:lineRule="auto"/>
        <w:rPr>
          <w:rFonts w:hint="default" w:ascii="阿里巴巴普惠体" w:hAnsi="阿里巴巴普惠体" w:eastAsia="阿里巴巴普惠体" w:cs="阿里巴巴普惠体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  <w:b/>
        </w:rPr>
        <w:t>1</w:t>
      </w:r>
      <w:r>
        <w:rPr>
          <w:rFonts w:hint="eastAsia" w:ascii="阿里巴巴普惠体" w:hAnsi="阿里巴巴普惠体" w:eastAsia="阿里巴巴普惠体" w:cs="阿里巴巴普惠体"/>
          <w:b/>
          <w:sz w:val="22"/>
        </w:rPr>
        <w:t>、在本地恢复演示资源所使用的数据资源：</w:t>
      </w:r>
      <w:r>
        <w:rPr>
          <w:rFonts w:hint="eastAsia" w:ascii="阿里巴巴普惠体" w:hAnsi="阿里巴巴普惠体" w:eastAsia="阿里巴巴普惠体" w:cs="阿里巴巴普惠体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 xml:space="preserve">对应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56210" cy="165100"/>
            <wp:effectExtent l="0" t="0" r="11430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0870" b="2261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阿里巴巴普惠体" w:hAnsi="阿里巴巴普惠体" w:eastAsia="阿里巴巴普惠体" w:cs="阿里巴巴普惠体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“数据库文件”</w:t>
      </w:r>
    </w:p>
    <w:p>
      <w:pPr>
        <w:numPr>
          <w:ilvl w:val="0"/>
          <w:numId w:val="1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  <w:sz w:val="22"/>
        </w:rPr>
        <w:t>数据库文件说明：</w:t>
      </w:r>
    </w:p>
    <w:p>
      <w:pPr>
        <w:numPr>
          <w:ilvl w:val="1"/>
          <w:numId w:val="1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traindb.sql：存放课程演示资源所涵盖到的所有表</w:t>
      </w:r>
    </w:p>
    <w:p>
      <w:pPr>
        <w:numPr>
          <w:ilvl w:val="1"/>
          <w:numId w:val="1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metrics.sql：指标存储库，用存放指标模型ETL灌数的数据</w:t>
      </w:r>
      <w:r>
        <w:rPr>
          <w:rFonts w:hint="eastAsia" w:ascii="阿里巴巴普惠体" w:hAnsi="阿里巴巴普惠体" w:eastAsia="阿里巴巴普惠体" w:cs="阿里巴巴普惠体"/>
          <w:color w:val="C10002"/>
        </w:rPr>
        <w:t>【指标模型搭建使用】</w:t>
      </w:r>
    </w:p>
    <w:p>
      <w:pPr>
        <w:numPr>
          <w:ilvl w:val="0"/>
          <w:numId w:val="1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</w:rPr>
        <w:t>恢复到本地数据库：</w:t>
      </w:r>
    </w:p>
    <w:p>
      <w:pPr>
        <w:numPr>
          <w:ilvl w:val="1"/>
          <w:numId w:val="1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将材料包里的”数据库文件“中的traindb_a.sql文件导入到自己本地的数据库中</w:t>
      </w:r>
      <w:r>
        <w:rPr>
          <w:rFonts w:hint="eastAsia" w:ascii="阿里巴巴普惠体" w:hAnsi="阿里巴巴普惠体" w:eastAsia="阿里巴巴普惠体" w:cs="阿里巴巴普惠体"/>
          <w:color w:val="C10002"/>
        </w:rPr>
        <w:t>【建议新建一个新的数据库进行导入，否则可能会遇到导入失败的提示】</w:t>
      </w:r>
    </w:p>
    <w:p>
      <w:pPr>
        <w:numPr>
          <w:ilvl w:val="1"/>
          <w:numId w:val="1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新建一个数据库命名为“metrics”，用于后续的数据库存储</w:t>
      </w:r>
      <w:r>
        <w:rPr>
          <w:rFonts w:hint="eastAsia" w:ascii="阿里巴巴普惠体" w:hAnsi="阿里巴巴普惠体" w:eastAsia="阿里巴巴普惠体" w:cs="阿里巴巴普惠体"/>
          <w:color w:val="C10002"/>
        </w:rPr>
        <w:t>【指标模型搭建使用】</w:t>
      </w:r>
    </w:p>
    <w:p>
      <w:pPr>
        <w:numPr>
          <w:ilvl w:val="0"/>
          <w:numId w:val="1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  <w:color w:val="C10002"/>
        </w:rPr>
        <w:t>注意：</w:t>
      </w:r>
      <w:r>
        <w:rPr>
          <w:rFonts w:hint="eastAsia" w:ascii="阿里巴巴普惠体" w:hAnsi="阿里巴巴普惠体" w:eastAsia="阿里巴巴普惠体" w:cs="阿里巴巴普惠体"/>
        </w:rPr>
        <w:t>如果遇到导入失败的情况，可以拉到最上面看一下导入失败的原因是不是因为没有选择数据库，如果是的话则需要先新建一个traindb_a的数据库，再在traindb_a这个数据库里去运行traindb_a.sql文件</w:t>
      </w:r>
    </w:p>
    <w:p>
      <w:pPr>
        <w:spacing w:line="360" w:lineRule="auto"/>
        <w:jc w:val="center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drawing>
          <wp:inline distT="0" distB="0" distL="0" distR="0">
            <wp:extent cx="3881755" cy="2769235"/>
            <wp:effectExtent l="0" t="0" r="4445" b="444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</w:rPr>
        <w:t>2、导入资源：</w:t>
      </w:r>
      <w:r>
        <w:rPr>
          <w:rFonts w:hint="eastAsia" w:ascii="阿里巴巴普惠体" w:hAnsi="阿里巴巴普惠体" w:eastAsia="阿里巴巴普惠体" w:cs="阿里巴巴普惠体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 xml:space="preserve">对应 </w:t>
      </w:r>
      <w:r>
        <w:drawing>
          <wp:inline distT="0" distB="0" distL="114300" distR="114300">
            <wp:extent cx="156210" cy="177165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10870" b="1696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阿里巴巴普惠体" w:hAnsi="阿里巴巴普惠体" w:eastAsia="阿里巴巴普惠体" w:cs="阿里巴巴普惠体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“产品培训示例资源-V11.xml”</w:t>
      </w: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</w:t>
      </w:r>
      <w:r>
        <w:rPr>
          <w:rFonts w:hint="eastAsia" w:ascii="阿里巴巴普惠体" w:hAnsi="阿里巴巴普惠体" w:eastAsia="阿里巴巴普惠体" w:cs="阿里巴巴普惠体"/>
          <w:color w:val="C10002"/>
        </w:rPr>
        <w:t>Smartbi V11版本</w:t>
      </w:r>
      <w:r>
        <w:rPr>
          <w:rFonts w:hint="eastAsia" w:ascii="阿里巴巴普惠体" w:hAnsi="阿里巴巴普惠体" w:eastAsia="阿里巴巴普惠体" w:cs="阿里巴巴普惠体"/>
        </w:rPr>
        <w:t>的运维设置里面找到“导入资源”，点击后在弹出的界面中，将提供的.xml 文件上传后点击确定，即可恢复演示资源，这一步完成后只实现了资源导入，要正常打开还需要在本地恢复数据并修改数据连接；</w:t>
      </w: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drawing>
          <wp:inline distT="0" distB="0" distL="0" distR="0">
            <wp:extent cx="6896100" cy="387667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  <w:sz w:val="22"/>
        </w:rPr>
        <w:t>3、导入的数据源修改：</w:t>
      </w:r>
      <w:r>
        <w:rPr>
          <w:rFonts w:hint="eastAsia" w:ascii="阿里巴巴普惠体" w:hAnsi="阿里巴巴普惠体" w:eastAsia="阿里巴巴普惠体" w:cs="阿里巴巴普惠体"/>
          <w:b w:val="0"/>
          <w:sz w:val="22"/>
        </w:rPr>
        <w:t>在数据连接界面，修改“公共空间/V11产品标准培训/数据连接”下的三个数据源连接信息，需自行更改为自己本地的数据库信息，修改后点击”测试连接“，测试通过即完成此数据恢复：</w:t>
      </w:r>
    </w:p>
    <w:p>
      <w:pPr>
        <w:numPr>
          <w:ilvl w:val="1"/>
          <w:numId w:val="2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  <w:sz w:val="22"/>
        </w:rPr>
        <w:t>数据库ip地址：</w:t>
      </w:r>
      <w:r>
        <w:rPr>
          <w:rFonts w:hint="eastAsia" w:ascii="阿里巴巴普惠体" w:hAnsi="阿里巴巴普惠体" w:eastAsia="阿里巴巴普惠体" w:cs="阿里巴巴普惠体"/>
          <w:b w:val="0"/>
          <w:sz w:val="22"/>
        </w:rPr>
        <w:t>如果是本地的数据库则为localhost</w:t>
      </w:r>
    </w:p>
    <w:p>
      <w:pPr>
        <w:numPr>
          <w:ilvl w:val="1"/>
          <w:numId w:val="2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  <w:sz w:val="22"/>
        </w:rPr>
        <w:t>端口：</w:t>
      </w:r>
      <w:r>
        <w:rPr>
          <w:rFonts w:hint="eastAsia" w:ascii="阿里巴巴普惠体" w:hAnsi="阿里巴巴普惠体" w:eastAsia="阿里巴巴普惠体" w:cs="阿里巴巴普惠体"/>
          <w:b w:val="0"/>
          <w:sz w:val="22"/>
        </w:rPr>
        <w:t>本地数据库的端口号</w:t>
      </w:r>
    </w:p>
    <w:p>
      <w:pPr>
        <w:numPr>
          <w:ilvl w:val="1"/>
          <w:numId w:val="2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  <w:sz w:val="22"/>
        </w:rPr>
        <w:t>数据库名：</w:t>
      </w:r>
      <w:r>
        <w:rPr>
          <w:rFonts w:hint="eastAsia" w:ascii="阿里巴巴普惠体" w:hAnsi="阿里巴巴普惠体" w:eastAsia="阿里巴巴普惠体" w:cs="阿里巴巴普惠体"/>
          <w:sz w:val="22"/>
        </w:rPr>
        <w:t>步骤1恢复到哪个数据库，则修改为对应的数据库名称</w:t>
      </w:r>
    </w:p>
    <w:p>
      <w:pPr>
        <w:numPr>
          <w:ilvl w:val="2"/>
          <w:numId w:val="2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 w:val="0"/>
          <w:sz w:val="22"/>
        </w:rPr>
        <w:t>通用数据库、销售数据库连接的都是“traindb_a”数据库</w:t>
      </w:r>
    </w:p>
    <w:p>
      <w:pPr>
        <w:numPr>
          <w:ilvl w:val="2"/>
          <w:numId w:val="2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 w:val="0"/>
          <w:sz w:val="22"/>
        </w:rPr>
        <w:t>指标存储库连接的是“metrics”数据库</w:t>
      </w:r>
    </w:p>
    <w:p>
      <w:pPr>
        <w:numPr>
          <w:ilvl w:val="1"/>
          <w:numId w:val="2"/>
        </w:num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  <w:sz w:val="22"/>
        </w:rPr>
        <w:t>用户名、密码：</w:t>
      </w:r>
      <w:r>
        <w:rPr>
          <w:rFonts w:hint="eastAsia" w:ascii="阿里巴巴普惠体" w:hAnsi="阿里巴巴普惠体" w:eastAsia="阿里巴巴普惠体" w:cs="阿里巴巴普惠体"/>
          <w:b w:val="0"/>
          <w:sz w:val="22"/>
        </w:rPr>
        <w:t>本地数据库的账号密码</w:t>
      </w: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drawing>
          <wp:inline distT="0" distB="0" distL="0" distR="0">
            <wp:extent cx="6896100" cy="3038475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  <w:b/>
        </w:rPr>
        <w:t>4</w:t>
      </w:r>
      <w:r>
        <w:rPr>
          <w:rFonts w:hint="eastAsia" w:ascii="阿里巴巴普惠体" w:hAnsi="阿里巴巴普惠体" w:eastAsia="阿里巴巴普惠体" w:cs="阿里巴巴普惠体"/>
          <w:b/>
        </w:rPr>
        <w:t>、</w:t>
      </w:r>
      <w:r>
        <w:rPr>
          <w:rFonts w:hint="eastAsia" w:ascii="阿里巴巴普惠体" w:hAnsi="阿里巴巴普惠体" w:eastAsia="阿里巴巴普惠体" w:cs="阿里巴巴普惠体"/>
          <w:b/>
        </w:rPr>
        <w:t>数据模型重新抽取：</w:t>
      </w:r>
      <w:r>
        <w:rPr>
          <w:rFonts w:hint="eastAsia" w:ascii="阿里巴巴普惠体" w:hAnsi="阿里巴巴普惠体" w:eastAsia="阿里巴巴普惠体" w:cs="阿里巴巴普惠体"/>
        </w:rPr>
        <w:t>恢复到新环境后，</w:t>
      </w:r>
      <w:r>
        <w:rPr>
          <w:rFonts w:hint="eastAsia" w:ascii="阿里巴巴普惠体" w:hAnsi="阿里巴巴普惠体" w:eastAsia="阿里巴巴普惠体" w:cs="阿里巴巴普惠体"/>
          <w:b w:val="0"/>
        </w:rPr>
        <w:t>需要将“公共空间/V11产品标准培训/数据准备/数据模型”文件夹下的几个数据模型进行重新抽取：打开资源后重新点击保存，则会出现重新抽取的界面，点击抽取。</w:t>
      </w:r>
    </w:p>
    <w:p>
      <w:pPr>
        <w:spacing w:line="360" w:lineRule="auto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drawing>
          <wp:inline distT="0" distB="0" distL="0" distR="0">
            <wp:extent cx="7124700" cy="3279775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28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3380" w:h="16905"/>
      <w:pgMar w:top="1440" w:right="1080" w:bottom="144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&quot;Alibaba PuHuiTi 2.0&quot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思源黑体 Medium">
    <w:panose1 w:val="020B0600000000000000"/>
    <w:charset w:val="86"/>
    <w:family w:val="auto"/>
    <w:pitch w:val="default"/>
    <w:sig w:usb0="30000003" w:usb1="2BDF3C10" w:usb2="00000016" w:usb3="00000000" w:csb0="602E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宋体 CN Extra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阿里巴巴普惠体 Heavy">
    <w:panose1 w:val="00020600040101010101"/>
    <w:charset w:val="86"/>
    <w:family w:val="auto"/>
    <w:pitch w:val="default"/>
    <w:sig w:usb0="A00002FF" w:usb1="4ACF7CFB" w:usb2="0000001E" w:usb3="00000000" w:csb0="0004009F" w:csb1="00000000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1"/>
      <w:numFmt w:val="bullet"/>
      <w:lvlText w:val="■"/>
      <w:lvlJc w:val="left"/>
      <w:pPr>
        <w:ind w:left="1260" w:hanging="42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1MzM1Yzg0OTk3OTE0NWE0Yjg1YjI4M2Y4ZWFhNjcifQ=="/>
  </w:docVars>
  <w:rsids>
    <w:rsidRoot w:val="00000000"/>
    <w:rsid w:val="347368BB"/>
    <w:rsid w:val="35951B6D"/>
    <w:rsid w:val="38561A88"/>
    <w:rsid w:val="49B517EB"/>
    <w:rsid w:val="6C87345A"/>
    <w:rsid w:val="74A809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6">
    <w:name w:val="dingdocnormal"/>
    <w:uiPriority w:val="0"/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Smartbi小麦</cp:lastModifiedBy>
  <dcterms:modified xsi:type="dcterms:W3CDTF">2023-10-17T01:40:47Z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354099D5172243768B5C13F1BE1FA809_12</vt:lpwstr>
  </property>
</Properties>
</file>