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CLASSROOM PROJECT 8</w:t>
        <w:br/>
      </w:r>
      <w:r>
        <w:rPr>
          <w:b/>
          <w:sz w:val="44"/>
        </w:rPr>
        <w:t>Contractor Performance &amp; Construction Cost Analysis</w:t>
      </w:r>
    </w:p>
    <w:p>
      <w:pPr>
        <w:jc w:val="center"/>
      </w:pPr>
      <w:r>
        <w:rPr>
          <w:b/>
        </w:rPr>
        <w:t>ABC Infrastructure Projects Ltd.</w:t>
        <w:br/>
      </w:r>
      <w:r>
        <w:t>Management Report – Estimation, Inflation, Budgeting &amp; Material Cost Analysis</w:t>
      </w:r>
    </w:p>
    <w:p>
      <w:pPr>
        <w:pStyle w:val="Heading1"/>
      </w:pPr>
      <w:r>
        <w:t>Executive Summary</w:t>
      </w:r>
    </w:p>
    <w:p>
      <w:r>
        <w:t>This report analyzes the supplied project dataset of 6,123 projects to support management decisions on estimating, inflation, budgeting, procurement and contractor/project cost control. The dataset contains project cost, project area, inflation rate, material cost index, labor cost index, equipment cost, weather delay and related project characteristics.</w:t>
      </w:r>
    </w:p>
    <w:p>
      <w:r>
        <w:t>The strongest observed relationship with total project cost is project area, with an approximate correlation of 0.895. The material cost index has a much weaker correlation with total project cost (approximately 0.048). Therefore, management should not treat material inflation as the only source of cost escalation.</w:t>
      </w:r>
    </w:p>
    <w:p>
      <w:pPr>
        <w:pStyle w:val="Heading1"/>
      </w:pPr>
      <w:r>
        <w:t>CEO Quick Overview</w:t>
      </w:r>
    </w:p>
    <w:tbl>
      <w:tblPr>
        <w:tblStyle w:val="TableGrid"/>
        <w:tblW w:type="auto" w:w="0"/>
        <w:jc w:val="center"/>
        <w:tblLook w:firstColumn="1" w:firstRow="1" w:lastColumn="0" w:lastRow="0" w:noHBand="0" w:noVBand="1" w:val="04A0"/>
      </w:tblPr>
      <w:tblGrid>
        <w:gridCol w:w="5112"/>
        <w:gridCol w:w="5112"/>
      </w:tblGrid>
      <w:tr>
        <w:tc>
          <w:tcPr>
            <w:tcW w:type="dxa" w:w="5112"/>
          </w:tcPr>
          <w:p>
            <w:r>
              <w:t>Indicator</w:t>
            </w:r>
          </w:p>
        </w:tc>
        <w:tc>
          <w:tcPr>
            <w:tcW w:type="dxa" w:w="5112"/>
          </w:tcPr>
          <w:p>
            <w:r>
              <w:t>Result</w:t>
            </w:r>
          </w:p>
        </w:tc>
      </w:tr>
      <w:tr>
        <w:tc>
          <w:tcPr>
            <w:tcW w:type="dxa" w:w="5112"/>
          </w:tcPr>
          <w:p>
            <w:r>
              <w:t>Projects analyzed</w:t>
            </w:r>
          </w:p>
        </w:tc>
        <w:tc>
          <w:tcPr>
            <w:tcW w:type="dxa" w:w="5112"/>
          </w:tcPr>
          <w:p>
            <w:r>
              <w:t>6,123</w:t>
            </w:r>
          </w:p>
        </w:tc>
      </w:tr>
      <w:tr>
        <w:tc>
          <w:tcPr>
            <w:tcW w:type="dxa" w:w="5112"/>
          </w:tcPr>
          <w:p>
            <w:r>
              <w:t>Total project cost</w:t>
            </w:r>
          </w:p>
        </w:tc>
        <w:tc>
          <w:tcPr>
            <w:tcW w:type="dxa" w:w="5112"/>
          </w:tcPr>
          <w:p>
            <w:r>
              <w:t>6,674.38 crore*</w:t>
            </w:r>
          </w:p>
        </w:tc>
      </w:tr>
      <w:tr>
        <w:tc>
          <w:tcPr>
            <w:tcW w:type="dxa" w:w="5112"/>
          </w:tcPr>
          <w:p>
            <w:r>
              <w:t>Average project cost</w:t>
            </w:r>
          </w:p>
        </w:tc>
        <w:tc>
          <w:tcPr>
            <w:tcW w:type="dxa" w:w="5112"/>
          </w:tcPr>
          <w:p>
            <w:r>
              <w:t>10.90 lakh*</w:t>
            </w:r>
          </w:p>
        </w:tc>
      </w:tr>
      <w:tr>
        <w:tc>
          <w:tcPr>
            <w:tcW w:type="dxa" w:w="5112"/>
          </w:tcPr>
          <w:p>
            <w:r>
              <w:t>Median project cost</w:t>
            </w:r>
          </w:p>
        </w:tc>
        <w:tc>
          <w:tcPr>
            <w:tcW w:type="dxa" w:w="5112"/>
          </w:tcPr>
          <w:p>
            <w:r>
              <w:t>10.36 lakh*</w:t>
            </w:r>
          </w:p>
        </w:tc>
      </w:tr>
      <w:tr>
        <w:tc>
          <w:tcPr>
            <w:tcW w:type="dxa" w:w="5112"/>
          </w:tcPr>
          <w:p>
            <w:r>
              <w:t>Average inflation rate</w:t>
            </w:r>
          </w:p>
        </w:tc>
        <w:tc>
          <w:tcPr>
            <w:tcW w:type="dxa" w:w="5112"/>
          </w:tcPr>
          <w:p>
            <w:r>
              <w:t>5.97%</w:t>
            </w:r>
          </w:p>
        </w:tc>
      </w:tr>
      <w:tr>
        <w:tc>
          <w:tcPr>
            <w:tcW w:type="dxa" w:w="5112"/>
          </w:tcPr>
          <w:p>
            <w:r>
              <w:t>Average material cost index</w:t>
            </w:r>
          </w:p>
        </w:tc>
        <w:tc>
          <w:tcPr>
            <w:tcW w:type="dxa" w:w="5112"/>
          </w:tcPr>
          <w:p>
            <w:r>
              <w:t>1.651</w:t>
            </w:r>
          </w:p>
        </w:tc>
      </w:tr>
      <w:tr>
        <w:tc>
          <w:tcPr>
            <w:tcW w:type="dxa" w:w="5112"/>
          </w:tcPr>
          <w:p>
            <w:r>
              <w:t>Average labor cost index</w:t>
            </w:r>
          </w:p>
        </w:tc>
        <w:tc>
          <w:tcPr>
            <w:tcW w:type="dxa" w:w="5112"/>
          </w:tcPr>
          <w:p>
            <w:r>
              <w:t>1.396</w:t>
            </w:r>
          </w:p>
        </w:tc>
      </w:tr>
      <w:tr>
        <w:tc>
          <w:tcPr>
            <w:tcW w:type="dxa" w:w="5112"/>
          </w:tcPr>
          <w:p>
            <w:r>
              <w:t>Average weather delay</w:t>
            </w:r>
          </w:p>
        </w:tc>
        <w:tc>
          <w:tcPr>
            <w:tcW w:type="dxa" w:w="5112"/>
          </w:tcPr>
          <w:p>
            <w:r>
              <w:t>29.6 days</w:t>
            </w:r>
          </w:p>
        </w:tc>
      </w:tr>
      <w:tr>
        <w:tc>
          <w:tcPr>
            <w:tcW w:type="dxa" w:w="5112"/>
          </w:tcPr>
          <w:p>
            <w:r>
              <w:t>Average resource utilization</w:t>
            </w:r>
          </w:p>
        </w:tc>
        <w:tc>
          <w:tcPr>
            <w:tcW w:type="dxa" w:w="5112"/>
          </w:tcPr>
          <w:p>
            <w:r>
              <w:t>74.8%</w:t>
            </w:r>
          </w:p>
        </w:tc>
      </w:tr>
    </w:tbl>
    <w:p>
      <w:r>
        <w:t>*The supplied dataset does not explicitly state the currency; monetary figures should therefore be treated as dataset monetary units unless the project specification confirms INR.</w:t>
      </w:r>
    </w:p>
    <w:p>
      <w:pPr>
        <w:pStyle w:val="Heading1"/>
      </w:pPr>
      <w:r>
        <w:t>1. Underestimation and Overestimation</w:t>
      </w:r>
    </w:p>
    <w:p>
      <w:r>
        <w:t>The dataset does not contain an original estimated/budgeted cost field, so an objective estimate-versus-actual error cannot be calculated. The required formula is:</w:t>
      </w:r>
    </w:p>
    <w:p>
      <w:r>
        <w:t>Estimation Error (%) = (Actual Cost − Estimated Cost) / Estimated Cost × 100</w:t>
      </w:r>
    </w:p>
    <w:p>
      <w:r>
        <w:t>Likely causes of underestimation:</w:t>
      </w:r>
    </w:p>
    <w:p>
      <w:pPr>
        <w:pStyle w:val="ListBullet"/>
      </w:pPr>
      <w:r>
        <w:t>Use of old material quotations or inadequate escalation allowances.</w:t>
      </w:r>
    </w:p>
    <w:p>
      <w:pPr>
        <w:pStyle w:val="ListBullet"/>
      </w:pPr>
      <w:r>
        <w:t>Incorrect quantities, wastage assumptions or quantity take-off.</w:t>
      </w:r>
    </w:p>
    <w:p>
      <w:pPr>
        <w:pStyle w:val="ListBullet"/>
      </w:pPr>
      <w:r>
        <w:t>Underestimated labor productivity, equipment, logistics or site costs.</w:t>
      </w:r>
    </w:p>
    <w:p>
      <w:pPr>
        <w:pStyle w:val="ListBullet"/>
      </w:pPr>
      <w:r>
        <w:t>Unexpected site conditions, weather effects or scope changes.</w:t>
      </w:r>
    </w:p>
    <w:p>
      <w:pPr>
        <w:pStyle w:val="ListBullet"/>
      </w:pPr>
      <w:r>
        <w:t>Taxes, duties, overheads, risk and contingency being omitted.</w:t>
      </w:r>
    </w:p>
    <w:p>
      <w:pPr>
        <w:pStyle w:val="ListBullet"/>
      </w:pPr>
      <w:r>
        <w:t>Aggressive bidding intended to win the project.</w:t>
      </w:r>
    </w:p>
    <w:p>
      <w:r>
        <w:t>Likely causes of overestimation:</w:t>
      </w:r>
    </w:p>
    <w:p>
      <w:pPr>
        <w:pStyle w:val="ListBullet"/>
      </w:pPr>
      <w:r>
        <w:t>Excessive contingency or risk premium.</w:t>
      </w:r>
    </w:p>
    <w:p>
      <w:pPr>
        <w:pStyle w:val="ListBullet"/>
      </w:pPr>
      <w:r>
        <w:t>Conservative productivity assumptions.</w:t>
      </w:r>
    </w:p>
    <w:p>
      <w:pPr>
        <w:pStyle w:val="ListBullet"/>
      </w:pPr>
      <w:r>
        <w:t>Inflated or outdated supplier quotations.</w:t>
      </w:r>
    </w:p>
    <w:p>
      <w:pPr>
        <w:pStyle w:val="ListBullet"/>
      </w:pPr>
      <w:r>
        <w:t>Excessive wastage allowances.</w:t>
      </w:r>
    </w:p>
    <w:p>
      <w:pPr>
        <w:pStyle w:val="ListBullet"/>
      </w:pPr>
      <w:r>
        <w:t>Duplicate or incorrectly classified cost items.</w:t>
      </w:r>
    </w:p>
    <w:p>
      <w:pPr>
        <w:pStyle w:val="ListBullet"/>
      </w:pPr>
      <w:r>
        <w:t>Poor quantity take-off or insufficient market benchmarking.</w:t>
      </w:r>
    </w:p>
    <w:p>
      <w:pPr>
        <w:pStyle w:val="Heading1"/>
      </w:pPr>
      <w:r>
        <w:t>2. Managing Inflation</w:t>
      </w:r>
    </w:p>
    <w:p>
      <w:r>
        <w:t>The recorded inflation rate ranges from 3% to 9%, with an average of approximately 5.97%. Management should avoid applying one blanket inflation rate to all materials. Material-specific escalation should be used.</w:t>
      </w:r>
    </w:p>
    <w:p>
      <w:r>
        <w:t>Recommended controls:</w:t>
      </w:r>
    </w:p>
    <w:p>
      <w:pPr>
        <w:pStyle w:val="ListBullet"/>
      </w:pPr>
      <w:r>
        <w:t>Lock prices early for critical and long-lead materials.</w:t>
      </w:r>
    </w:p>
    <w:p>
      <w:pPr>
        <w:pStyle w:val="ListBullet"/>
      </w:pPr>
      <w:r>
        <w:t>Negotiate framework/rate contracts with suppliers.</w:t>
      </w:r>
    </w:p>
    <w:p>
      <w:pPr>
        <w:pStyle w:val="ListBullet"/>
      </w:pPr>
      <w:r>
        <w:t>Obtain quotations from multiple approved suppliers.</w:t>
      </w:r>
    </w:p>
    <w:p>
      <w:pPr>
        <w:pStyle w:val="ListBullet"/>
      </w:pPr>
      <w:r>
        <w:t>Maintain alternative suppliers for critical materials.</w:t>
      </w:r>
    </w:p>
    <w:p>
      <w:pPr>
        <w:pStyle w:val="ListBullet"/>
      </w:pPr>
      <w:r>
        <w:t>Use escalation clauses for long-duration contracts.</w:t>
      </w:r>
    </w:p>
    <w:p>
      <w:pPr>
        <w:pStyle w:val="ListBullet"/>
      </w:pPr>
      <w:r>
        <w:t>Monitor material/commodity prices monthly.</w:t>
      </w:r>
    </w:p>
    <w:p>
      <w:pPr>
        <w:pStyle w:val="ListBullet"/>
      </w:pPr>
      <w:r>
        <w:t>Purchase long-lead materials early where commercially justified.</w:t>
      </w:r>
    </w:p>
    <w:p>
      <w:pPr>
        <w:pStyle w:val="Heading1"/>
      </w:pPr>
      <w:r>
        <w:t>3. Ten-Year Inflation and Material Cost Analysis</w:t>
      </w:r>
    </w:p>
    <w:p>
      <w:r>
        <w:t>A genuine ten-year historical trend cannot be calculated from the supplied dataset because it does not contain a project year/date field. Available descriptive statistics are:</w:t>
      </w:r>
    </w:p>
    <w:tbl>
      <w:tblPr>
        <w:tblStyle w:val="TableGrid"/>
        <w:tblW w:type="auto" w:w="0"/>
        <w:tblLook w:firstColumn="1" w:firstRow="1" w:lastColumn="0" w:lastRow="0" w:noHBand="0" w:noVBand="1" w:val="04A0"/>
      </w:tblPr>
      <w:tblGrid>
        <w:gridCol w:w="5112"/>
        <w:gridCol w:w="5112"/>
      </w:tblGrid>
      <w:tr>
        <w:tc>
          <w:tcPr>
            <w:tcW w:type="dxa" w:w="5112"/>
          </w:tcPr>
          <w:p>
            <w:r>
              <w:t>Inflation statistic</w:t>
            </w:r>
          </w:p>
        </w:tc>
        <w:tc>
          <w:tcPr>
            <w:tcW w:type="dxa" w:w="5112"/>
          </w:tcPr>
          <w:p>
            <w:r>
              <w:t>Value</w:t>
            </w:r>
          </w:p>
        </w:tc>
      </w:tr>
      <w:tr>
        <w:tc>
          <w:tcPr>
            <w:tcW w:type="dxa" w:w="5112"/>
          </w:tcPr>
          <w:p>
            <w:r>
              <w:t>Minimum</w:t>
            </w:r>
          </w:p>
        </w:tc>
        <w:tc>
          <w:tcPr>
            <w:tcW w:type="dxa" w:w="5112"/>
          </w:tcPr>
          <w:p>
            <w:r>
              <w:t>3.00%</w:t>
            </w:r>
          </w:p>
        </w:tc>
      </w:tr>
      <w:tr>
        <w:tc>
          <w:tcPr>
            <w:tcW w:type="dxa" w:w="5112"/>
          </w:tcPr>
          <w:p>
            <w:r>
              <w:t>25th percentile</w:t>
            </w:r>
          </w:p>
        </w:tc>
        <w:tc>
          <w:tcPr>
            <w:tcW w:type="dxa" w:w="5112"/>
          </w:tcPr>
          <w:p>
            <w:r>
              <w:t>4.45%</w:t>
            </w:r>
          </w:p>
        </w:tc>
      </w:tr>
      <w:tr>
        <w:tc>
          <w:tcPr>
            <w:tcW w:type="dxa" w:w="5112"/>
          </w:tcPr>
          <w:p>
            <w:r>
              <w:t>Median</w:t>
            </w:r>
          </w:p>
        </w:tc>
        <w:tc>
          <w:tcPr>
            <w:tcW w:type="dxa" w:w="5112"/>
          </w:tcPr>
          <w:p>
            <w:r>
              <w:t>5.95%</w:t>
            </w:r>
          </w:p>
        </w:tc>
      </w:tr>
      <w:tr>
        <w:tc>
          <w:tcPr>
            <w:tcW w:type="dxa" w:w="5112"/>
          </w:tcPr>
          <w:p>
            <w:r>
              <w:t>75th percentile</w:t>
            </w:r>
          </w:p>
        </w:tc>
        <w:tc>
          <w:tcPr>
            <w:tcW w:type="dxa" w:w="5112"/>
          </w:tcPr>
          <w:p>
            <w:r>
              <w:t>7.49%</w:t>
            </w:r>
          </w:p>
        </w:tc>
      </w:tr>
      <w:tr>
        <w:tc>
          <w:tcPr>
            <w:tcW w:type="dxa" w:w="5112"/>
          </w:tcPr>
          <w:p>
            <w:r>
              <w:t>Maximum</w:t>
            </w:r>
          </w:p>
        </w:tc>
        <w:tc>
          <w:tcPr>
            <w:tcW w:type="dxa" w:w="5112"/>
          </w:tcPr>
          <w:p>
            <w:r>
              <w:t>9.00%</w:t>
            </w:r>
          </w:p>
        </w:tc>
      </w:tr>
      <w:tr>
        <w:tc>
          <w:tcPr>
            <w:tcW w:type="dxa" w:w="5112"/>
          </w:tcPr>
          <w:p>
            <w:r>
              <w:t>Average</w:t>
            </w:r>
          </w:p>
        </w:tc>
        <w:tc>
          <w:tcPr>
            <w:tcW w:type="dxa" w:w="5112"/>
          </w:tcPr>
          <w:p>
            <w:r>
              <w:t>5.97%</w:t>
            </w:r>
          </w:p>
        </w:tc>
      </w:tr>
    </w:tbl>
    <w:p>
      <w:r>
        <w:t>The correlation between inflation rate and material cost index is approximately 0.004 in this dataset. This is effectively zero and means the supplied data does not support a direct conclusion that higher recorded inflation automatically caused a higher material cost index.</w:t>
      </w:r>
    </w:p>
    <w:p>
      <w:r>
        <w:t>For a proper ten-year analysis, ABC should collect annual/monthly prices for steel, cement, sand, aggregate, bricks, bitumen, electrical and finishing materials, together with the relevant inflation index.</w:t>
      </w:r>
    </w:p>
    <w:p>
      <w:pPr>
        <w:pStyle w:val="Heading1"/>
      </w:pPr>
      <w:r>
        <w:t>4. Budget Management Techniques</w:t>
      </w:r>
    </w:p>
    <w:p>
      <w:pPr>
        <w:pStyle w:val="Heading2"/>
      </w:pPr>
      <w:r>
        <w:t>Pre-estimation</w:t>
      </w:r>
    </w:p>
    <w:p>
      <w:pPr>
        <w:pStyle w:val="ListBullet"/>
      </w:pPr>
      <w:r>
        <w:t>Detailed quantity take-off</w:t>
      </w:r>
    </w:p>
    <w:p>
      <w:pPr>
        <w:pStyle w:val="ListBullet"/>
      </w:pPr>
      <w:r>
        <w:t>Current supplier quotations</w:t>
      </w:r>
    </w:p>
    <w:p>
      <w:pPr>
        <w:pStyle w:val="ListBullet"/>
      </w:pPr>
      <w:r>
        <w:t>Historical benchmarking</w:t>
      </w:r>
    </w:p>
    <w:p>
      <w:pPr>
        <w:pStyle w:val="ListBullet"/>
      </w:pPr>
      <w:r>
        <w:t>Location adjustment</w:t>
      </w:r>
    </w:p>
    <w:p>
      <w:pPr>
        <w:pStyle w:val="ListBullet"/>
      </w:pPr>
      <w:r>
        <w:t>Inflation/escalation forecast</w:t>
      </w:r>
    </w:p>
    <w:p>
      <w:pPr>
        <w:pStyle w:val="ListBullet"/>
      </w:pPr>
      <w:r>
        <w:t>Labor and equipment rates</w:t>
      </w:r>
    </w:p>
    <w:p>
      <w:pPr>
        <w:pStyle w:val="Heading2"/>
      </w:pPr>
      <w:r>
        <w:t>Estimate validation</w:t>
      </w:r>
    </w:p>
    <w:p>
      <w:pPr>
        <w:pStyle w:val="ListBullet"/>
      </w:pPr>
      <w:r>
        <w:t>Base estimate</w:t>
      </w:r>
    </w:p>
    <w:p>
      <w:pPr>
        <w:pStyle w:val="ListBullet"/>
      </w:pPr>
      <w:r>
        <w:t>Risk/contingency allowance</w:t>
      </w:r>
    </w:p>
    <w:p>
      <w:pPr>
        <w:pStyle w:val="ListBullet"/>
      </w:pPr>
      <w:r>
        <w:t>Escalation allowance</w:t>
      </w:r>
    </w:p>
    <w:p>
      <w:pPr>
        <w:pStyle w:val="ListBullet"/>
      </w:pPr>
      <w:r>
        <w:t>Independent estimate review</w:t>
      </w:r>
    </w:p>
    <w:p>
      <w:pPr>
        <w:pStyle w:val="Heading2"/>
      </w:pPr>
      <w:r>
        <w:t>Procurement control</w:t>
      </w:r>
    </w:p>
    <w:p>
      <w:pPr>
        <w:pStyle w:val="ListBullet"/>
      </w:pPr>
      <w:r>
        <w:t>Competitive bidding</w:t>
      </w:r>
    </w:p>
    <w:p>
      <w:pPr>
        <w:pStyle w:val="ListBullet"/>
      </w:pPr>
      <w:r>
        <w:t>Supplier comparison</w:t>
      </w:r>
    </w:p>
    <w:p>
      <w:pPr>
        <w:pStyle w:val="ListBullet"/>
      </w:pPr>
      <w:r>
        <w:t>Rate contracts</w:t>
      </w:r>
    </w:p>
    <w:p>
      <w:pPr>
        <w:pStyle w:val="ListBullet"/>
      </w:pPr>
      <w:r>
        <w:t>Bulk procurement</w:t>
      </w:r>
    </w:p>
    <w:p>
      <w:pPr>
        <w:pStyle w:val="ListBullet"/>
      </w:pPr>
      <w:r>
        <w:t>Early procurement of critical materials</w:t>
      </w:r>
    </w:p>
    <w:p>
      <w:pPr>
        <w:pStyle w:val="ListBullet"/>
      </w:pPr>
      <w:r>
        <w:t>Supplier performance monitoring</w:t>
      </w:r>
    </w:p>
    <w:p>
      <w:pPr>
        <w:pStyle w:val="Heading2"/>
      </w:pPr>
      <w:r>
        <w:t>Project execution</w:t>
      </w:r>
    </w:p>
    <w:p>
      <w:pPr>
        <w:pStyle w:val="ListBullet"/>
      </w:pPr>
      <w:r>
        <w:t>Monthly Budget vs Actual vs Forecast review</w:t>
      </w:r>
    </w:p>
    <w:p>
      <w:pPr>
        <w:pStyle w:val="ListBullet"/>
      </w:pPr>
      <w:r>
        <w:t>Cost variance tracking</w:t>
      </w:r>
    </w:p>
    <w:p>
      <w:pPr>
        <w:pStyle w:val="ListBullet"/>
      </w:pPr>
      <w:r>
        <w:t>Commitment monitoring</w:t>
      </w:r>
    </w:p>
    <w:p>
      <w:pPr>
        <w:pStyle w:val="ListBullet"/>
      </w:pPr>
      <w:r>
        <w:t>Early corrective action</w:t>
      </w:r>
    </w:p>
    <w:p>
      <w:pPr>
        <w:pStyle w:val="Heading1"/>
      </w:pPr>
      <w:r>
        <w:t>5. Which Materials Consume the Most Budget?</w:t>
      </w:r>
    </w:p>
    <w:p>
      <w:r>
        <w:t>This cannot be determined from the current dataset because material-wise costs are not available. The dataset contains a material cost index but not individual material names, quantities or purchase prices.</w:t>
      </w:r>
    </w:p>
    <w:p>
      <w:r>
        <w:t>The average material cost index rises across its quartiles, while average project cost rises from approximately 10.57 lakh in the low group to 11.18 lakh in the high group. However, this does not prove that materials are the dominant cost driver.</w:t>
      </w:r>
    </w:p>
    <w:p>
      <w:pPr>
        <w:pStyle w:val="Heading1"/>
      </w:pPr>
      <w:r>
        <w:t>6. Bidding Value for Minimum 10% Profitability</w:t>
      </w:r>
    </w:p>
    <w:p>
      <w:r>
        <w:t>If 10% means profit margin on the final selling price, the required bid is:</w:t>
      </w:r>
    </w:p>
    <w:p>
      <w:r>
        <w:t>Bid = Cost / (1 − 0.10) = 1.1111 × Cost</w:t>
      </w:r>
    </w:p>
    <w:p>
      <w:r>
        <w:t>Therefore, the bid must be approximately 11.11% above cost. For example, if cost is ₹10,00,000, the bid should be approximately ₹11,11,111 to achieve a 10% profit margin.</w:t>
      </w:r>
    </w:p>
    <w:p>
      <w:r>
        <w:t>If the company instead means a 10% markup on cost, the bid is 110% of cost. These are different definitions and should not be confused.</w:t>
      </w:r>
    </w:p>
    <w:p>
      <w:r>
        <w:t>A professional estimate should include materials, labor, equipment, transport, site overheads, corporate overheads, risk, contingency and profit—not material cost alone.</w:t>
      </w:r>
    </w:p>
    <w:p>
      <w:pPr>
        <w:pStyle w:val="Heading1"/>
      </w:pPr>
      <w:r>
        <w:t>7. Material-Related Reasons for Work Delays</w:t>
      </w:r>
    </w:p>
    <w:p>
      <w:pPr>
        <w:pStyle w:val="ListBullet"/>
      </w:pPr>
      <w:r>
        <w:t>Material price escalation and delayed commercial approvals.</w:t>
      </w:r>
    </w:p>
    <w:p>
      <w:pPr>
        <w:pStyle w:val="ListBullet"/>
      </w:pPr>
      <w:r>
        <w:t>Contractor cash-flow constraints.</w:t>
      </w:r>
    </w:p>
    <w:p>
      <w:pPr>
        <w:pStyle w:val="ListBullet"/>
      </w:pPr>
      <w:r>
        <w:t>Long lead times for specialized materials.</w:t>
      </w:r>
    </w:p>
    <w:p>
      <w:pPr>
        <w:pStyle w:val="ListBullet"/>
      </w:pPr>
      <w:r>
        <w:t>Supplier failure or insufficient supply.</w:t>
      </w:r>
    </w:p>
    <w:p>
      <w:pPr>
        <w:pStyle w:val="ListBullet"/>
      </w:pPr>
      <w:r>
        <w:t>Incorrect quantity estimates and material shortages.</w:t>
      </w:r>
    </w:p>
    <w:p>
      <w:pPr>
        <w:pStyle w:val="ListBullet"/>
      </w:pPr>
      <w:r>
        <w:t>Poor storage and material damage.</w:t>
      </w:r>
    </w:p>
    <w:p>
      <w:pPr>
        <w:pStyle w:val="ListBullet"/>
      </w:pPr>
      <w:r>
        <w:t>Specification changes and replacement requirements.</w:t>
      </w:r>
    </w:p>
    <w:p>
      <w:pPr>
        <w:pStyle w:val="ListBullet"/>
      </w:pPr>
      <w:r>
        <w:t>Transportation and site-access problems.</w:t>
      </w:r>
    </w:p>
    <w:p>
      <w:pPr>
        <w:pStyle w:val="ListBullet"/>
      </w:pPr>
      <w:r>
        <w:t>Quality rejection and re-procurement.</w:t>
      </w:r>
    </w:p>
    <w:p>
      <w:pPr>
        <w:pStyle w:val="ListBullet"/>
      </w:pPr>
      <w:r>
        <w:t>Uncertainty caused by rapidly changing material prices.</w:t>
      </w:r>
    </w:p>
    <w:p>
      <w:pPr>
        <w:pStyle w:val="Heading1"/>
      </w:pPr>
      <w:r>
        <w:t>8. Restrictions and Limitations in Material Cost Estimation</w:t>
      </w:r>
    </w:p>
    <w:p>
      <w:pPr>
        <w:pStyle w:val="Heading2"/>
      </w:pPr>
      <w:r>
        <w:t>Market</w:t>
      </w:r>
    </w:p>
    <w:p>
      <w:pPr>
        <w:pStyle w:val="ListBullet"/>
      </w:pPr>
      <w:r>
        <w:t>Price volatility</w:t>
      </w:r>
    </w:p>
    <w:p>
      <w:pPr>
        <w:pStyle w:val="ListBullet"/>
      </w:pPr>
      <w:r>
        <w:t>Supplier availability</w:t>
      </w:r>
    </w:p>
    <w:p>
      <w:pPr>
        <w:pStyle w:val="ListBullet"/>
      </w:pPr>
      <w:r>
        <w:t>Regional price differences</w:t>
      </w:r>
    </w:p>
    <w:p>
      <w:pPr>
        <w:pStyle w:val="ListBullet"/>
      </w:pPr>
      <w:r>
        <w:t>Shortages</w:t>
      </w:r>
    </w:p>
    <w:p>
      <w:pPr>
        <w:pStyle w:val="ListBullet"/>
      </w:pPr>
      <w:r>
        <w:t>Seasonal fluctuations</w:t>
      </w:r>
    </w:p>
    <w:p>
      <w:pPr>
        <w:pStyle w:val="Heading2"/>
      </w:pPr>
      <w:r>
        <w:t>Technical</w:t>
      </w:r>
    </w:p>
    <w:p>
      <w:pPr>
        <w:pStyle w:val="ListBullet"/>
      </w:pPr>
      <w:r>
        <w:t>Material grade/specification</w:t>
      </w:r>
    </w:p>
    <w:p>
      <w:pPr>
        <w:pStyle w:val="ListBullet"/>
      </w:pPr>
      <w:r>
        <w:t>Brand requirements</w:t>
      </w:r>
    </w:p>
    <w:p>
      <w:pPr>
        <w:pStyle w:val="ListBullet"/>
      </w:pPr>
      <w:r>
        <w:t>Testing and quality standards</w:t>
      </w:r>
    </w:p>
    <w:p>
      <w:pPr>
        <w:pStyle w:val="Heading2"/>
      </w:pPr>
      <w:r>
        <w:t>Quantity</w:t>
      </w:r>
    </w:p>
    <w:p>
      <w:pPr>
        <w:pStyle w:val="ListBullet"/>
      </w:pPr>
      <w:r>
        <w:t>Minimum order quantity</w:t>
      </w:r>
    </w:p>
    <w:p>
      <w:pPr>
        <w:pStyle w:val="ListBullet"/>
      </w:pPr>
      <w:r>
        <w:t>Bulk discounts</w:t>
      </w:r>
    </w:p>
    <w:p>
      <w:pPr>
        <w:pStyle w:val="ListBullet"/>
      </w:pPr>
      <w:r>
        <w:t>Wastage</w:t>
      </w:r>
    </w:p>
    <w:p>
      <w:pPr>
        <w:pStyle w:val="ListBullet"/>
      </w:pPr>
      <w:r>
        <w:t>Cutting losses</w:t>
      </w:r>
    </w:p>
    <w:p>
      <w:pPr>
        <w:pStyle w:val="ListBullet"/>
      </w:pPr>
      <w:r>
        <w:t>Breakage</w:t>
      </w:r>
    </w:p>
    <w:p>
      <w:pPr>
        <w:pStyle w:val="Heading2"/>
      </w:pPr>
      <w:r>
        <w:t>Logistics</w:t>
      </w:r>
    </w:p>
    <w:p>
      <w:pPr>
        <w:pStyle w:val="ListBullet"/>
      </w:pPr>
      <w:r>
        <w:t>Transport distance</w:t>
      </w:r>
    </w:p>
    <w:p>
      <w:pPr>
        <w:pStyle w:val="ListBullet"/>
      </w:pPr>
      <w:r>
        <w:t>Loading/unloading</w:t>
      </w:r>
    </w:p>
    <w:p>
      <w:pPr>
        <w:pStyle w:val="ListBullet"/>
      </w:pPr>
      <w:r>
        <w:t>Handling</w:t>
      </w:r>
    </w:p>
    <w:p>
      <w:pPr>
        <w:pStyle w:val="ListBullet"/>
      </w:pPr>
      <w:r>
        <w:t>Storage</w:t>
      </w:r>
    </w:p>
    <w:p>
      <w:pPr>
        <w:pStyle w:val="ListBullet"/>
      </w:pPr>
      <w:r>
        <w:t>Site accessibility</w:t>
      </w:r>
    </w:p>
    <w:p>
      <w:pPr>
        <w:pStyle w:val="Heading2"/>
      </w:pPr>
      <w:r>
        <w:t>Financial</w:t>
      </w:r>
    </w:p>
    <w:p>
      <w:pPr>
        <w:pStyle w:val="ListBullet"/>
      </w:pPr>
      <w:r>
        <w:t>Inflation</w:t>
      </w:r>
    </w:p>
    <w:p>
      <w:pPr>
        <w:pStyle w:val="ListBullet"/>
      </w:pPr>
      <w:r>
        <w:t>Taxes/duties</w:t>
      </w:r>
    </w:p>
    <w:p>
      <w:pPr>
        <w:pStyle w:val="ListBullet"/>
      </w:pPr>
      <w:r>
        <w:t>Financing cost</w:t>
      </w:r>
    </w:p>
    <w:p>
      <w:pPr>
        <w:pStyle w:val="ListBullet"/>
      </w:pPr>
      <w:r>
        <w:t>Currency fluctuations where applicable</w:t>
      </w:r>
    </w:p>
    <w:p>
      <w:pPr>
        <w:pStyle w:val="Heading2"/>
      </w:pPr>
      <w:r>
        <w:t>Contract</w:t>
      </w:r>
    </w:p>
    <w:p>
      <w:pPr>
        <w:pStyle w:val="ListBullet"/>
      </w:pPr>
      <w:r>
        <w:t>Fixed-price clauses</w:t>
      </w:r>
    </w:p>
    <w:p>
      <w:pPr>
        <w:pStyle w:val="ListBullet"/>
      </w:pPr>
      <w:r>
        <w:t>Escalation clauses</w:t>
      </w:r>
    </w:p>
    <w:p>
      <w:pPr>
        <w:pStyle w:val="ListBullet"/>
      </w:pPr>
      <w:r>
        <w:t>Approved supplier restrictions</w:t>
      </w:r>
    </w:p>
    <w:p>
      <w:pPr>
        <w:pStyle w:val="ListBullet"/>
      </w:pPr>
      <w:r>
        <w:t>Substitution restrictions</w:t>
      </w:r>
    </w:p>
    <w:p>
      <w:pPr>
        <w:pStyle w:val="Heading1"/>
      </w:pPr>
      <w:r>
        <w:t>9. Cost Cuts Without Compromising Quality</w:t>
      </w:r>
    </w:p>
    <w:p>
      <w:r>
        <w:t>The dataset does not provide a detailed cost breakdown, so an exact percentage of safe cost reduction cannot be calculated. Cost optimization should focus on efficiency rather than reducing material quality.</w:t>
      </w:r>
    </w:p>
    <w:p>
      <w:pPr>
        <w:pStyle w:val="ListBullet"/>
      </w:pPr>
      <w:r>
        <w:t>Competitive procurement and volume discounts.</w:t>
      </w:r>
    </w:p>
    <w:p>
      <w:pPr>
        <w:pStyle w:val="ListBullet"/>
      </w:pPr>
      <w:r>
        <w:t>Framework agreements and early purchasing.</w:t>
      </w:r>
    </w:p>
    <w:p>
      <w:pPr>
        <w:pStyle w:val="ListBullet"/>
      </w:pPr>
      <w:r>
        <w:t>Value engineering and elimination of unnecessary over-specification.</w:t>
      </w:r>
    </w:p>
    <w:p>
      <w:pPr>
        <w:pStyle w:val="ListBullet"/>
      </w:pPr>
      <w:r>
        <w:t>Accurate quantity take-off and waste reduction.</w:t>
      </w:r>
    </w:p>
    <w:p>
      <w:pPr>
        <w:pStyle w:val="ListBullet"/>
      </w:pPr>
      <w:r>
        <w:t>Better material storage and reuse where technically permitted.</w:t>
      </w:r>
    </w:p>
    <w:p>
      <w:pPr>
        <w:pStyle w:val="ListBullet"/>
      </w:pPr>
      <w:r>
        <w:t>Transportation and delivery optimization.</w:t>
      </w:r>
    </w:p>
    <w:p>
      <w:pPr>
        <w:pStyle w:val="ListBullet"/>
      </w:pPr>
      <w:r>
        <w:t>Improved labor and equipment productivity.</w:t>
      </w:r>
    </w:p>
    <w:p>
      <w:r>
        <w:t>Average resource utilization is approximately 74.8%. This indicates a potential productivity improvement opportunity, but it must not be interpreted as 25.2% direct cost savings. A reasonable initial management target is to pursue 5–10% optimization through procurement, waste reduction, value engineering and productivity improvements, subject to engineering validation.</w:t>
      </w:r>
    </w:p>
    <w:p>
      <w:pPr>
        <w:pStyle w:val="Heading1"/>
      </w:pPr>
      <w:r>
        <w:t>10. Charts and Dataset-Based Findings</w:t>
      </w:r>
    </w:p>
    <w:p>
      <w:r>
        <w:t>Because the dataset does not contain individual material prices, a true material-wise pie chart cannot be produced without inventing data. The following tables provide honest proxies for the current dataset.</w:t>
      </w:r>
    </w:p>
    <w:p>
      <w:pPr>
        <w:pStyle w:val="Heading2"/>
      </w:pPr>
      <w:r>
        <w:t>Total Project Cost by Project Type</w:t>
      </w:r>
    </w:p>
    <w:tbl>
      <w:tblPr>
        <w:tblStyle w:val="TableGrid"/>
        <w:tblW w:type="auto" w:w="0"/>
        <w:tblLook w:firstColumn="1" w:firstRow="1" w:lastColumn="0" w:lastRow="0" w:noHBand="0" w:noVBand="1" w:val="04A0"/>
      </w:tblPr>
      <w:tblGrid>
        <w:gridCol w:w="5112"/>
        <w:gridCol w:w="5112"/>
      </w:tblGrid>
      <w:tr>
        <w:tc>
          <w:tcPr>
            <w:tcW w:type="dxa" w:w="5112"/>
          </w:tcPr>
          <w:p>
            <w:r>
              <w:t>Project Type</w:t>
            </w:r>
          </w:p>
        </w:tc>
        <w:tc>
          <w:tcPr>
            <w:tcW w:type="dxa" w:w="5112"/>
          </w:tcPr>
          <w:p>
            <w:r>
              <w:t>Total Project Cost</w:t>
            </w:r>
          </w:p>
        </w:tc>
      </w:tr>
      <w:tr>
        <w:tc>
          <w:tcPr>
            <w:tcW w:type="dxa" w:w="5112"/>
          </w:tcPr>
          <w:p>
            <w:r>
              <w:t>Residential</w:t>
            </w:r>
          </w:p>
        </w:tc>
        <w:tc>
          <w:tcPr>
            <w:tcW w:type="dxa" w:w="5112"/>
          </w:tcPr>
          <w:p>
            <w:r>
              <w:t>2,272,044,545</w:t>
            </w:r>
          </w:p>
        </w:tc>
      </w:tr>
      <w:tr>
        <w:tc>
          <w:tcPr>
            <w:tcW w:type="dxa" w:w="5112"/>
          </w:tcPr>
          <w:p>
            <w:r>
              <w:t>Industrial</w:t>
            </w:r>
          </w:p>
        </w:tc>
        <w:tc>
          <w:tcPr>
            <w:tcW w:type="dxa" w:w="5112"/>
          </w:tcPr>
          <w:p>
            <w:r>
              <w:t>2,208,931,239</w:t>
            </w:r>
          </w:p>
        </w:tc>
      </w:tr>
      <w:tr>
        <w:tc>
          <w:tcPr>
            <w:tcW w:type="dxa" w:w="5112"/>
          </w:tcPr>
          <w:p>
            <w:r>
              <w:t>Commercial</w:t>
            </w:r>
          </w:p>
        </w:tc>
        <w:tc>
          <w:tcPr>
            <w:tcW w:type="dxa" w:w="5112"/>
          </w:tcPr>
          <w:p>
            <w:r>
              <w:t>2,193,408,508</w:t>
            </w:r>
          </w:p>
        </w:tc>
      </w:tr>
    </w:tbl>
    <w:p>
      <w:pPr>
        <w:pStyle w:val="Heading2"/>
      </w:pPr>
      <w:r>
        <w:t>Average Material Cost Index by Construction Type</w:t>
      </w:r>
    </w:p>
    <w:tbl>
      <w:tblPr>
        <w:tblStyle w:val="TableGrid"/>
        <w:tblW w:type="auto" w:w="0"/>
        <w:tblLook w:firstColumn="1" w:firstRow="1" w:lastColumn="0" w:lastRow="0" w:noHBand="0" w:noVBand="1" w:val="04A0"/>
      </w:tblPr>
      <w:tblGrid>
        <w:gridCol w:w="5112"/>
        <w:gridCol w:w="5112"/>
      </w:tblGrid>
      <w:tr>
        <w:tc>
          <w:tcPr>
            <w:tcW w:type="dxa" w:w="5112"/>
          </w:tcPr>
          <w:p>
            <w:r>
              <w:t>Construction Type</w:t>
            </w:r>
          </w:p>
        </w:tc>
        <w:tc>
          <w:tcPr>
            <w:tcW w:type="dxa" w:w="5112"/>
          </w:tcPr>
          <w:p>
            <w:r>
              <w:t>Average Material Cost Index</w:t>
            </w:r>
          </w:p>
        </w:tc>
      </w:tr>
      <w:tr>
        <w:tc>
          <w:tcPr>
            <w:tcW w:type="dxa" w:w="5112"/>
          </w:tcPr>
          <w:p>
            <w:r>
              <w:t>RCC</w:t>
            </w:r>
          </w:p>
        </w:tc>
        <w:tc>
          <w:tcPr>
            <w:tcW w:type="dxa" w:w="5112"/>
          </w:tcPr>
          <w:p>
            <w:r>
              <w:t>1.66</w:t>
            </w:r>
          </w:p>
        </w:tc>
      </w:tr>
      <w:tr>
        <w:tc>
          <w:tcPr>
            <w:tcW w:type="dxa" w:w="5112"/>
          </w:tcPr>
          <w:p>
            <w:r>
              <w:t>Steel</w:t>
            </w:r>
          </w:p>
        </w:tc>
        <w:tc>
          <w:tcPr>
            <w:tcW w:type="dxa" w:w="5112"/>
          </w:tcPr>
          <w:p>
            <w:r>
              <w:t>1.65</w:t>
            </w:r>
          </w:p>
        </w:tc>
      </w:tr>
      <w:tr>
        <w:tc>
          <w:tcPr>
            <w:tcW w:type="dxa" w:w="5112"/>
          </w:tcPr>
          <w:p>
            <w:r>
              <w:t>Hybrid</w:t>
            </w:r>
          </w:p>
        </w:tc>
        <w:tc>
          <w:tcPr>
            <w:tcW w:type="dxa" w:w="5112"/>
          </w:tcPr>
          <w:p>
            <w:r>
              <w:t>1.65</w:t>
            </w:r>
          </w:p>
        </w:tc>
      </w:tr>
    </w:tbl>
    <w:p>
      <w:pPr>
        <w:pStyle w:val="Heading2"/>
      </w:pPr>
      <w:r>
        <w:t>Average Inflation Rate by Project Type</w:t>
      </w:r>
    </w:p>
    <w:tbl>
      <w:tblPr>
        <w:tblStyle w:val="TableGrid"/>
        <w:tblW w:type="auto" w:w="0"/>
        <w:tblLook w:firstColumn="1" w:firstRow="1" w:lastColumn="0" w:lastRow="0" w:noHBand="0" w:noVBand="1" w:val="04A0"/>
      </w:tblPr>
      <w:tblGrid>
        <w:gridCol w:w="5112"/>
        <w:gridCol w:w="5112"/>
      </w:tblGrid>
      <w:tr>
        <w:tc>
          <w:tcPr>
            <w:tcW w:type="dxa" w:w="5112"/>
          </w:tcPr>
          <w:p>
            <w:r>
              <w:t>Project Type</w:t>
            </w:r>
          </w:p>
        </w:tc>
        <w:tc>
          <w:tcPr>
            <w:tcW w:type="dxa" w:w="5112"/>
          </w:tcPr>
          <w:p>
            <w:r>
              <w:t>Average Inflation</w:t>
            </w:r>
          </w:p>
        </w:tc>
      </w:tr>
      <w:tr>
        <w:tc>
          <w:tcPr>
            <w:tcW w:type="dxa" w:w="5112"/>
          </w:tcPr>
          <w:p>
            <w:r>
              <w:t>Residential</w:t>
            </w:r>
          </w:p>
        </w:tc>
        <w:tc>
          <w:tcPr>
            <w:tcW w:type="dxa" w:w="5112"/>
          </w:tcPr>
          <w:p>
            <w:r>
              <w:t>6.00%</w:t>
            </w:r>
          </w:p>
        </w:tc>
      </w:tr>
      <w:tr>
        <w:tc>
          <w:tcPr>
            <w:tcW w:type="dxa" w:w="5112"/>
          </w:tcPr>
          <w:p>
            <w:r>
              <w:t>Industrial</w:t>
            </w:r>
          </w:p>
        </w:tc>
        <w:tc>
          <w:tcPr>
            <w:tcW w:type="dxa" w:w="5112"/>
          </w:tcPr>
          <w:p>
            <w:r>
              <w:t>5.96%</w:t>
            </w:r>
          </w:p>
        </w:tc>
      </w:tr>
      <w:tr>
        <w:tc>
          <w:tcPr>
            <w:tcW w:type="dxa" w:w="5112"/>
          </w:tcPr>
          <w:p>
            <w:r>
              <w:t>Commercial</w:t>
            </w:r>
          </w:p>
        </w:tc>
        <w:tc>
          <w:tcPr>
            <w:tcW w:type="dxa" w:w="5112"/>
          </w:tcPr>
          <w:p>
            <w:r>
              <w:t>5.94%</w:t>
            </w:r>
          </w:p>
        </w:tc>
      </w:tr>
    </w:tbl>
    <w:p>
      <w:pPr>
        <w:pStyle w:val="Heading1"/>
      </w:pPr>
      <w:r>
        <w:t>Final Management Recommendations</w:t>
      </w:r>
    </w:p>
    <w:p>
      <w:r>
        <w:t>1. Do not treat inflation as the only cost problem; project size/area is the strongest observed cost driver.</w:t>
      </w:r>
    </w:p>
    <w:p>
      <w:r>
        <w:t>2. Introduce a formal estimating system covering quantities, current rates, escalation, logistics, overheads, contingency and profit.</w:t>
      </w:r>
    </w:p>
    <w:p>
      <w:r>
        <w:t>3. Track Estimate vs Actual for every project so systematic underestimation/overestimation can be identified.</w:t>
      </w:r>
    </w:p>
    <w:p>
      <w:r>
        <w:t>4. Use material-specific inflation rather than one blanket escalation percentage.</w:t>
      </w:r>
    </w:p>
    <w:p>
      <w:r>
        <w:t>5. Create a historical material price database and update it monthly.</w:t>
      </w:r>
    </w:p>
    <w:p>
      <w:r>
        <w:t>6. Lock prices early for critical materials and use competitive supplier benchmarking.</w:t>
      </w:r>
    </w:p>
    <w:p>
      <w:r>
        <w:t>7. Use value engineering and waste reduction instead of reducing material quality.</w:t>
      </w:r>
    </w:p>
    <w:p>
      <w:r>
        <w:t>8. For a 10% profit margin, bid at approximately 111.11% of total cost.</w:t>
      </w:r>
    </w:p>
    <w:p>
      <w:r>
        <w:t>9. Monitor Budget, Committed Cost, Actual Cost, Forecast Final Cost and Variance every month.</w:t>
      </w:r>
    </w:p>
    <w:p>
      <w:r>
        <w:t>10. Add material-level data to the project database to enable true material-wise pie charts, price trends and quantified savings.</w:t>
      </w:r>
    </w:p>
    <w:p>
      <w:pPr>
        <w:pStyle w:val="Heading1"/>
      </w:pPr>
      <w:r>
        <w:t>Recommended Additional Data Fields</w:t>
      </w:r>
    </w:p>
    <w:p>
      <w:r>
        <w:t>To produce a complete professional estimator's analysis, the next database should contain:</w:t>
      </w:r>
    </w:p>
    <w:p>
      <w:r>
        <w:t>Project ID | Year | Material | Quantity | Unit | Base Rate | Purchase Rate | Estimated Material Cost | Actual Material Cost | Supplier | Location | Delivery Date | Inflation Index</w:t>
      </w:r>
    </w:p>
    <w:p>
      <w:pPr>
        <w:pStyle w:val="Heading1"/>
      </w:pPr>
      <w:r>
        <w:t>Conclusion</w:t>
      </w:r>
    </w:p>
    <w:p>
      <w:r>
        <w:t>The supplied dataset is suitable for a high-level project cost and inflation assessment, but it is not sufficient for a true material-wise cost analysis or a ten-year historical material price study. The recommended management approach is therefore to combine the existing project-level performance data with a detailed material procurement database. This will allow ABC Infrastructure Projects Ltd. to improve estimating accuracy, control inflation exposure, reduce delays, protect quality and achieve target profitability.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