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4E5F" w14:textId="77777777" w:rsidR="0037120C" w:rsidRDefault="00000000">
      <w:pPr>
        <w:jc w:val="center"/>
      </w:pPr>
      <w:r>
        <w:rPr>
          <w:rFonts w:ascii="Aptos Display" w:hAnsi="Aptos Display"/>
          <w:b/>
          <w:color w:val="1F4E79"/>
          <w:sz w:val="52"/>
        </w:rPr>
        <w:t>Fuel Receipt Segmentation and Cost Prediction</w:t>
      </w:r>
    </w:p>
    <w:p w14:paraId="676C6F32" w14:textId="77777777" w:rsidR="0037120C" w:rsidRDefault="00000000">
      <w:pPr>
        <w:jc w:val="center"/>
      </w:pPr>
      <w:r>
        <w:rPr>
          <w:color w:val="505050"/>
          <w:sz w:val="28"/>
        </w:rPr>
        <w:t>MIS 64060 Final Exam Report</w:t>
      </w:r>
    </w:p>
    <w:p w14:paraId="45F2C574" w14:textId="77777777" w:rsidR="0037120C" w:rsidRDefault="00000000">
      <w:pPr>
        <w:jc w:val="center"/>
      </w:pPr>
      <w:r>
        <w:rPr>
          <w:i/>
          <w:sz w:val="22"/>
        </w:rPr>
        <w:t>Prepared for top-level management</w:t>
      </w:r>
    </w:p>
    <w:p w14:paraId="0D8DC963" w14:textId="659AACF2" w:rsidR="0037120C" w:rsidRDefault="00000000">
      <w:pPr>
        <w:jc w:val="center"/>
      </w:pPr>
      <w:r>
        <w:rPr>
          <w:sz w:val="22"/>
        </w:rPr>
        <w:t>Student: Steve Lamber</w:t>
      </w:r>
      <w:r w:rsidR="00051A62">
        <w:rPr>
          <w:sz w:val="22"/>
        </w:rPr>
        <w:t>t</w:t>
      </w:r>
      <w:r>
        <w:rPr>
          <w:sz w:val="22"/>
        </w:rPr>
        <w:br/>
        <w:t>Data: PUDL EIA-923 monthly fuel receipts and costs</w:t>
      </w:r>
      <w:r>
        <w:rPr>
          <w:sz w:val="22"/>
        </w:rPr>
        <w:br/>
        <w:t>Primary method: k-means clustering; extra credit: regression with cluster membership</w:t>
      </w:r>
    </w:p>
    <w:p w14:paraId="13739111" w14:textId="77777777" w:rsidR="0037120C" w:rsidRDefault="0037120C"/>
    <w:p w14:paraId="5390F232" w14:textId="77777777" w:rsidR="0037120C" w:rsidRDefault="00000000">
      <w:pPr>
        <w:jc w:val="center"/>
      </w:pPr>
      <w:r>
        <w:t>This report is paired with the included R Markdown file, which downloads the PUDL table, cleans the data, samples 2% using a four-digit seed, runs the clustering analysis, and creates updated tables and charts when knitted.</w:t>
      </w:r>
    </w:p>
    <w:p w14:paraId="7AA84AC4" w14:textId="77777777" w:rsidR="0037120C" w:rsidRDefault="00000000">
      <w:r>
        <w:br w:type="page"/>
      </w:r>
    </w:p>
    <w:p w14:paraId="254942E8" w14:textId="77777777" w:rsidR="0037120C" w:rsidRDefault="00000000">
      <w:pPr>
        <w:pStyle w:val="Heading1"/>
      </w:pPr>
      <w:r>
        <w:lastRenderedPageBreak/>
        <w:t>Executive Summary</w:t>
      </w:r>
    </w:p>
    <w:p w14:paraId="069881F2" w14:textId="77777777" w:rsidR="0037120C" w:rsidRDefault="00000000">
      <w:r>
        <w:t>This analysis uses PUDL monthly fuel receipts and costs from EIA-923 Schedule 2, Part A to segment fuel delivery records for U.S. power plants. The primary recommendation is to treat fuel procurement as a segmented market instead of a single national fuel-cost problem. The k-means model groups receipt records by operational scale and fuel heat content, then profiles each group by cost, fuel type, state, and fuel-cost data source. This helps management see which records represent routine fuel purchasing, which represent large-volume thermal fuel deliveries, and which represent high-cost or specialty fuel activity.</w:t>
      </w:r>
    </w:p>
    <w:p w14:paraId="23BDD537" w14:textId="77777777" w:rsidR="0037120C" w:rsidRDefault="00000000">
      <w:r>
        <w:t>The attached R Markdown file is the analysis of record and should be knitted before submission to refresh the exact cluster profiles, charts, and regression results. The analysis also tests whether adding cluster membership improves prediction of fuel_cost_per_mmbtu. If the cluster-enhanced regression reduces test-set error, the segmentation is not just descriptive; it also captures useful structure for forecasting fuel-cost exposure.</w:t>
      </w:r>
    </w:p>
    <w:p w14:paraId="44A97094" w14:textId="77777777" w:rsidR="0037120C" w:rsidRDefault="00000000">
      <w:pPr>
        <w:pStyle w:val="Heading1"/>
      </w:pPr>
      <w:r>
        <w:t>Introduction</w:t>
      </w:r>
    </w:p>
    <w:p w14:paraId="3350B030" w14:textId="77777777" w:rsidR="0037120C" w:rsidRDefault="00000000">
      <w:r>
        <w:t>The PUDL Project is an open-source energy data pipeline that standardizes public U.S. energy datasets. The final exam instructions specify the monthly fuel contract, purchase, and cost information reported in EIA-923 Schedule 2, Part A. The selected PUDL table, out_eia923__monthly_fuel_receipts_costs, contains monthly fuel delivery records aggregated by plant, fuel type, and reporting date.</w:t>
      </w:r>
    </w:p>
    <w:p w14:paraId="3983F3C9" w14:textId="77777777" w:rsidR="0037120C" w:rsidRDefault="00000000">
      <w:r>
        <w:t>The table includes plant and utility identifiers, state, fuel type, quantity of fuel received, fuel heat content, average fuel cost per MMBtu, total fuel cost, and several fuel quality fields. Several fuel quality fields have significant missingness, so the analysis removes high-missing variables before modeling. The reproducible R Markdown code uses a 30% missingness cutoff, then keeps the variables needed for segmentation and cost prediction.</w:t>
      </w:r>
    </w:p>
    <w:p w14:paraId="162C3166" w14:textId="77777777" w:rsidR="0037120C" w:rsidRDefault="00000000">
      <w:pPr>
        <w:pStyle w:val="Heading1"/>
      </w:pPr>
      <w:r>
        <w:t>Problem Statement</w:t>
      </w:r>
    </w:p>
    <w:p w14:paraId="386FE58E" w14:textId="77777777" w:rsidR="0037120C" w:rsidRDefault="00000000">
      <w:r>
        <w:t>This project answers five management questions:</w:t>
      </w:r>
    </w:p>
    <w:p w14:paraId="37C647B6" w14:textId="77777777" w:rsidR="0037120C" w:rsidRDefault="00000000">
      <w:pPr>
        <w:pStyle w:val="ListNumber"/>
      </w:pPr>
      <w:r>
        <w:t>What fuel purchasing segments appear in the PUDL EIA-923 fuel receipts and costs data?</w:t>
      </w:r>
    </w:p>
    <w:p w14:paraId="4CB9E3C3" w14:textId="77777777" w:rsidR="0037120C" w:rsidRDefault="00000000">
      <w:pPr>
        <w:pStyle w:val="ListNumber"/>
      </w:pPr>
      <w:r>
        <w:t>How should the value for the number of clusters be chosen?</w:t>
      </w:r>
    </w:p>
    <w:p w14:paraId="12639718" w14:textId="77777777" w:rsidR="0037120C" w:rsidRDefault="00000000">
      <w:pPr>
        <w:pStyle w:val="ListNumber"/>
      </w:pPr>
      <w:r>
        <w:t>What do the clusters reveal about U.S. power generation fuel purchasing patterns?</w:t>
      </w:r>
    </w:p>
    <w:p w14:paraId="11A832BD" w14:textId="77777777" w:rsidR="0037120C" w:rsidRDefault="00000000">
      <w:pPr>
        <w:pStyle w:val="ListNumber"/>
      </w:pPr>
      <w:r>
        <w:t>Do the clusters differ by fuel type, state, and fuel cost data source?</w:t>
      </w:r>
    </w:p>
    <w:p w14:paraId="7CAF26EB" w14:textId="77777777" w:rsidR="0037120C" w:rsidRDefault="00000000">
      <w:pPr>
        <w:pStyle w:val="ListNumber"/>
      </w:pPr>
      <w:r>
        <w:t>Does adding cluster membership improve prediction of fuel_cost_per_mmbtu on the test set?</w:t>
      </w:r>
    </w:p>
    <w:p w14:paraId="6674F04B" w14:textId="77777777" w:rsidR="0037120C" w:rsidRDefault="00000000">
      <w:pPr>
        <w:pStyle w:val="Heading1"/>
      </w:pPr>
      <w:r>
        <w:t>Methodology</w:t>
      </w:r>
    </w:p>
    <w:p w14:paraId="2F334EE1" w14:textId="77777777" w:rsidR="0037120C" w:rsidRDefault="00000000">
      <w:r>
        <w:t>The modeling approach uses k-means clustering because the business objective is segmentation: finding groups of fuel receipt records that are internally similar and externally different. The analysis uses a random 2% sample with seed 5067, then splits the sample into a 75% training set and a 25% test set. This follows the final exam instructions and keeps the work reproducible.</w:t>
      </w:r>
    </w:p>
    <w:tbl>
      <w:tblPr>
        <w:tblStyle w:val="TableGrid"/>
        <w:tblW w:w="0" w:type="auto"/>
        <w:jc w:val="center"/>
        <w:tblLook w:val="04A0" w:firstRow="1" w:lastRow="0" w:firstColumn="1" w:lastColumn="0" w:noHBand="0" w:noVBand="1"/>
      </w:tblPr>
      <w:tblGrid>
        <w:gridCol w:w="4896"/>
        <w:gridCol w:w="4896"/>
      </w:tblGrid>
      <w:tr w:rsidR="0037120C" w14:paraId="47D9641E" w14:textId="77777777">
        <w:trPr>
          <w:jc w:val="center"/>
        </w:trPr>
        <w:tc>
          <w:tcPr>
            <w:tcW w:w="4896" w:type="dxa"/>
            <w:shd w:val="clear" w:color="auto" w:fill="1F4E79"/>
            <w:vAlign w:val="center"/>
          </w:tcPr>
          <w:p w14:paraId="5E65DB36" w14:textId="77777777" w:rsidR="0037120C" w:rsidRDefault="00000000">
            <w:r>
              <w:rPr>
                <w:b/>
                <w:color w:val="FFFFFF"/>
                <w:sz w:val="18"/>
              </w:rPr>
              <w:t>Step</w:t>
            </w:r>
          </w:p>
        </w:tc>
        <w:tc>
          <w:tcPr>
            <w:tcW w:w="4896" w:type="dxa"/>
            <w:shd w:val="clear" w:color="auto" w:fill="1F4E79"/>
            <w:vAlign w:val="center"/>
          </w:tcPr>
          <w:p w14:paraId="04979FC8" w14:textId="77777777" w:rsidR="0037120C" w:rsidRDefault="00000000">
            <w:r>
              <w:rPr>
                <w:b/>
                <w:color w:val="FFFFFF"/>
                <w:sz w:val="18"/>
              </w:rPr>
              <w:t>Purpose</w:t>
            </w:r>
          </w:p>
        </w:tc>
      </w:tr>
      <w:tr w:rsidR="0037120C" w14:paraId="6872E975" w14:textId="77777777">
        <w:trPr>
          <w:jc w:val="center"/>
        </w:trPr>
        <w:tc>
          <w:tcPr>
            <w:tcW w:w="4896" w:type="dxa"/>
            <w:vAlign w:val="center"/>
          </w:tcPr>
          <w:p w14:paraId="79E2B008" w14:textId="77777777" w:rsidR="0037120C" w:rsidRDefault="00000000">
            <w:r>
              <w:rPr>
                <w:sz w:val="18"/>
              </w:rPr>
              <w:t>Remove high-missing variables</w:t>
            </w:r>
          </w:p>
        </w:tc>
        <w:tc>
          <w:tcPr>
            <w:tcW w:w="4896" w:type="dxa"/>
            <w:vAlign w:val="center"/>
          </w:tcPr>
          <w:p w14:paraId="08881AA5" w14:textId="77777777" w:rsidR="0037120C" w:rsidRDefault="00000000">
            <w:r>
              <w:rPr>
                <w:sz w:val="18"/>
              </w:rPr>
              <w:t>Avoid unstable clusters driven by sparse fuel-quality fields.</w:t>
            </w:r>
          </w:p>
        </w:tc>
      </w:tr>
      <w:tr w:rsidR="0037120C" w14:paraId="021A2BDD" w14:textId="77777777">
        <w:trPr>
          <w:jc w:val="center"/>
        </w:trPr>
        <w:tc>
          <w:tcPr>
            <w:tcW w:w="4896" w:type="dxa"/>
            <w:vAlign w:val="center"/>
          </w:tcPr>
          <w:p w14:paraId="1B730C37" w14:textId="77777777" w:rsidR="0037120C" w:rsidRDefault="00000000">
            <w:r>
              <w:rPr>
                <w:sz w:val="18"/>
              </w:rPr>
              <w:lastRenderedPageBreak/>
              <w:t>Set variable types</w:t>
            </w:r>
          </w:p>
        </w:tc>
        <w:tc>
          <w:tcPr>
            <w:tcW w:w="4896" w:type="dxa"/>
            <w:vAlign w:val="center"/>
          </w:tcPr>
          <w:p w14:paraId="27A8643C" w14:textId="77777777" w:rsidR="0037120C" w:rsidRDefault="00000000">
            <w:r>
              <w:rPr>
                <w:sz w:val="18"/>
              </w:rPr>
              <w:t>Treat dates, categories, and numeric measures correctly.</w:t>
            </w:r>
          </w:p>
        </w:tc>
      </w:tr>
      <w:tr w:rsidR="0037120C" w14:paraId="78057564" w14:textId="77777777">
        <w:trPr>
          <w:jc w:val="center"/>
        </w:trPr>
        <w:tc>
          <w:tcPr>
            <w:tcW w:w="4896" w:type="dxa"/>
            <w:vAlign w:val="center"/>
          </w:tcPr>
          <w:p w14:paraId="41117D80" w14:textId="77777777" w:rsidR="0037120C" w:rsidRDefault="00000000">
            <w:r>
              <w:rPr>
                <w:sz w:val="18"/>
              </w:rPr>
              <w:t>Sample and split</w:t>
            </w:r>
          </w:p>
        </w:tc>
        <w:tc>
          <w:tcPr>
            <w:tcW w:w="4896" w:type="dxa"/>
            <w:vAlign w:val="center"/>
          </w:tcPr>
          <w:p w14:paraId="57086487" w14:textId="77777777" w:rsidR="0037120C" w:rsidRDefault="00000000">
            <w:r>
              <w:rPr>
                <w:sz w:val="18"/>
              </w:rPr>
              <w:t>Use seed 5067, sample about 2%, then split 75% training and 25% test.</w:t>
            </w:r>
          </w:p>
        </w:tc>
      </w:tr>
      <w:tr w:rsidR="0037120C" w14:paraId="194A09C0" w14:textId="77777777">
        <w:trPr>
          <w:jc w:val="center"/>
        </w:trPr>
        <w:tc>
          <w:tcPr>
            <w:tcW w:w="4896" w:type="dxa"/>
            <w:vAlign w:val="center"/>
          </w:tcPr>
          <w:p w14:paraId="0475822E" w14:textId="77777777" w:rsidR="0037120C" w:rsidRDefault="00000000">
            <w:r>
              <w:rPr>
                <w:sz w:val="18"/>
              </w:rPr>
              <w:t>Transform and scale</w:t>
            </w:r>
          </w:p>
        </w:tc>
        <w:tc>
          <w:tcPr>
            <w:tcW w:w="4896" w:type="dxa"/>
            <w:vAlign w:val="center"/>
          </w:tcPr>
          <w:p w14:paraId="2B0FD423" w14:textId="77777777" w:rsidR="0037120C" w:rsidRDefault="00000000">
            <w:r>
              <w:rPr>
                <w:sz w:val="18"/>
              </w:rPr>
              <w:t>Log-transform skewed receipt quantities and standardize numeric variables for distance-based clustering.</w:t>
            </w:r>
          </w:p>
        </w:tc>
      </w:tr>
      <w:tr w:rsidR="0037120C" w14:paraId="3026177B" w14:textId="77777777">
        <w:trPr>
          <w:jc w:val="center"/>
        </w:trPr>
        <w:tc>
          <w:tcPr>
            <w:tcW w:w="4896" w:type="dxa"/>
            <w:vAlign w:val="center"/>
          </w:tcPr>
          <w:p w14:paraId="4864C5B8" w14:textId="77777777" w:rsidR="0037120C" w:rsidRDefault="00000000">
            <w:r>
              <w:rPr>
                <w:sz w:val="18"/>
              </w:rPr>
              <w:t>Tune k</w:t>
            </w:r>
          </w:p>
        </w:tc>
        <w:tc>
          <w:tcPr>
            <w:tcW w:w="4896" w:type="dxa"/>
            <w:vAlign w:val="center"/>
          </w:tcPr>
          <w:p w14:paraId="5D01FBCF" w14:textId="77777777" w:rsidR="0037120C" w:rsidRDefault="00000000">
            <w:r>
              <w:rPr>
                <w:sz w:val="18"/>
              </w:rPr>
              <w:t>Review elbow and silhouette diagnostics, then choose a management-friendly four-cluster solution.</w:t>
            </w:r>
          </w:p>
        </w:tc>
      </w:tr>
      <w:tr w:rsidR="0037120C" w14:paraId="2BB0CB58" w14:textId="77777777">
        <w:trPr>
          <w:jc w:val="center"/>
        </w:trPr>
        <w:tc>
          <w:tcPr>
            <w:tcW w:w="4896" w:type="dxa"/>
            <w:vAlign w:val="center"/>
          </w:tcPr>
          <w:p w14:paraId="405F9703" w14:textId="77777777" w:rsidR="0037120C" w:rsidRDefault="00000000">
            <w:r>
              <w:rPr>
                <w:sz w:val="18"/>
              </w:rPr>
              <w:t>Profile clusters</w:t>
            </w:r>
          </w:p>
        </w:tc>
        <w:tc>
          <w:tcPr>
            <w:tcW w:w="4896" w:type="dxa"/>
            <w:vAlign w:val="center"/>
          </w:tcPr>
          <w:p w14:paraId="2E3112F3" w14:textId="77777777" w:rsidR="0037120C" w:rsidRDefault="00000000">
            <w:r>
              <w:rPr>
                <w:sz w:val="18"/>
              </w:rPr>
              <w:t>Describe clusters using fuel type, state, source, cost, receipt volume, and heat content.</w:t>
            </w:r>
          </w:p>
        </w:tc>
      </w:tr>
      <w:tr w:rsidR="0037120C" w14:paraId="225B1AB0" w14:textId="77777777">
        <w:trPr>
          <w:jc w:val="center"/>
        </w:trPr>
        <w:tc>
          <w:tcPr>
            <w:tcW w:w="4896" w:type="dxa"/>
            <w:vAlign w:val="center"/>
          </w:tcPr>
          <w:p w14:paraId="3875CB5B" w14:textId="77777777" w:rsidR="0037120C" w:rsidRDefault="00000000">
            <w:r>
              <w:rPr>
                <w:sz w:val="18"/>
              </w:rPr>
              <w:t>Regression check</w:t>
            </w:r>
          </w:p>
        </w:tc>
        <w:tc>
          <w:tcPr>
            <w:tcW w:w="4896" w:type="dxa"/>
            <w:vAlign w:val="center"/>
          </w:tcPr>
          <w:p w14:paraId="1A073A7A" w14:textId="77777777" w:rsidR="0037120C" w:rsidRDefault="00000000">
            <w:r>
              <w:rPr>
                <w:sz w:val="18"/>
              </w:rPr>
              <w:t>Compare base regression to regression with cluster membership on the test set.</w:t>
            </w:r>
          </w:p>
        </w:tc>
      </w:tr>
    </w:tbl>
    <w:p w14:paraId="1C1B868A" w14:textId="77777777" w:rsidR="0037120C" w:rsidRDefault="00000000">
      <w:pPr>
        <w:pStyle w:val="Heading1"/>
      </w:pPr>
      <w:r>
        <w:t>Analysis and Discussion</w:t>
      </w:r>
    </w:p>
    <w:p w14:paraId="6705233D" w14:textId="77777777" w:rsidR="0037120C" w:rsidRDefault="00000000">
      <w:pPr>
        <w:pStyle w:val="Heading2"/>
      </w:pPr>
      <w:r>
        <w:t>Data preparation</w:t>
      </w:r>
    </w:p>
    <w:p w14:paraId="4B25C376" w14:textId="77777777" w:rsidR="0037120C" w:rsidRDefault="00000000">
      <w:r>
        <w:t>The R Markdown first calculates missingness for every column and removes variables with more than 30% missing values. This matters because PUDL includes several fuel chemistry variables that are useful for specific fuels but too sparse for broad clustering across the whole table. After the missingness screen, the model keeps the fields needed for receipt volume, heat content, fuel cost, state, fuel type, and cost source.</w:t>
      </w:r>
    </w:p>
    <w:p w14:paraId="02C859B7" w14:textId="77777777" w:rsidR="0037120C" w:rsidRDefault="00000000">
      <w:pPr>
        <w:pStyle w:val="Heading2"/>
      </w:pPr>
      <w:r>
        <w:t>Cluster selection</w:t>
      </w:r>
    </w:p>
    <w:p w14:paraId="5B267EC5" w14:textId="77777777" w:rsidR="0037120C" w:rsidRDefault="00000000">
      <w:r>
        <w:t>The analysis evaluates k values from 2 through 8 using total within-cluster sum of squares and average silhouette width. The elbow plot shows how much within-cluster variation decreases as more clusters are added. The silhouette plot checks whether points appear closer to their assigned clusters than to neighboring clusters. For the final management presentation, the model uses four clusters. This creates enough separation to tell a useful business story without producing an overly fragmented segmentation.</w:t>
      </w:r>
    </w:p>
    <w:p w14:paraId="6EDA3BBC" w14:textId="77777777" w:rsidR="0037120C" w:rsidRDefault="00000000">
      <w:pPr>
        <w:pStyle w:val="Heading2"/>
      </w:pPr>
      <w:r>
        <w:t>Cluster interpretation</w:t>
      </w:r>
    </w:p>
    <w:p w14:paraId="453288EB" w14:textId="77777777" w:rsidR="0037120C" w:rsidRDefault="00000000">
      <w:r>
        <w:t>The segmentation is intentionally built on operational receipt features rather than directly on fuel_cost_per_mmbtu. This avoids creating clusters from the same variable later used as the prediction target. After clusters are formed, the R Markdown profiles them by median cost, delivered energy, heat content, most common fuel type, most common state, and most common cost source.</w:t>
      </w:r>
    </w:p>
    <w:tbl>
      <w:tblPr>
        <w:tblStyle w:val="TableGrid"/>
        <w:tblW w:w="0" w:type="auto"/>
        <w:jc w:val="center"/>
        <w:tblLook w:val="04A0" w:firstRow="1" w:lastRow="0" w:firstColumn="1" w:lastColumn="0" w:noHBand="0" w:noVBand="1"/>
      </w:tblPr>
      <w:tblGrid>
        <w:gridCol w:w="3264"/>
        <w:gridCol w:w="3264"/>
        <w:gridCol w:w="3264"/>
      </w:tblGrid>
      <w:tr w:rsidR="0037120C" w14:paraId="42B16EE4" w14:textId="77777777">
        <w:trPr>
          <w:jc w:val="center"/>
        </w:trPr>
        <w:tc>
          <w:tcPr>
            <w:tcW w:w="3264" w:type="dxa"/>
            <w:shd w:val="clear" w:color="auto" w:fill="1F4E79"/>
            <w:vAlign w:val="center"/>
          </w:tcPr>
          <w:p w14:paraId="3EBB6F52" w14:textId="77777777" w:rsidR="0037120C" w:rsidRDefault="00000000">
            <w:r>
              <w:rPr>
                <w:b/>
                <w:color w:val="FFFFFF"/>
                <w:sz w:val="18"/>
              </w:rPr>
              <w:t>Cluster label</w:t>
            </w:r>
          </w:p>
        </w:tc>
        <w:tc>
          <w:tcPr>
            <w:tcW w:w="3264" w:type="dxa"/>
            <w:shd w:val="clear" w:color="auto" w:fill="1F4E79"/>
            <w:vAlign w:val="center"/>
          </w:tcPr>
          <w:p w14:paraId="37AA6F5C" w14:textId="77777777" w:rsidR="0037120C" w:rsidRDefault="00000000">
            <w:r>
              <w:rPr>
                <w:b/>
                <w:color w:val="FFFFFF"/>
                <w:sz w:val="18"/>
              </w:rPr>
              <w:t>What it means</w:t>
            </w:r>
          </w:p>
        </w:tc>
        <w:tc>
          <w:tcPr>
            <w:tcW w:w="3264" w:type="dxa"/>
            <w:shd w:val="clear" w:color="auto" w:fill="1F4E79"/>
            <w:vAlign w:val="center"/>
          </w:tcPr>
          <w:p w14:paraId="207EFCB5" w14:textId="77777777" w:rsidR="0037120C" w:rsidRDefault="00000000">
            <w:r>
              <w:rPr>
                <w:b/>
                <w:color w:val="FFFFFF"/>
                <w:sz w:val="18"/>
              </w:rPr>
              <w:t>Management use</w:t>
            </w:r>
          </w:p>
        </w:tc>
      </w:tr>
      <w:tr w:rsidR="0037120C" w14:paraId="66A39EFC" w14:textId="77777777">
        <w:trPr>
          <w:jc w:val="center"/>
        </w:trPr>
        <w:tc>
          <w:tcPr>
            <w:tcW w:w="3264" w:type="dxa"/>
            <w:vAlign w:val="center"/>
          </w:tcPr>
          <w:p w14:paraId="2BF7F114" w14:textId="77777777" w:rsidR="0037120C" w:rsidRDefault="00000000">
            <w:r>
              <w:rPr>
                <w:sz w:val="18"/>
              </w:rPr>
              <w:t>Large-volume thermal fuel receipts</w:t>
            </w:r>
          </w:p>
        </w:tc>
        <w:tc>
          <w:tcPr>
            <w:tcW w:w="3264" w:type="dxa"/>
            <w:vAlign w:val="center"/>
          </w:tcPr>
          <w:p w14:paraId="61E85458" w14:textId="77777777" w:rsidR="0037120C" w:rsidRDefault="00000000">
            <w:r>
              <w:rPr>
                <w:sz w:val="18"/>
              </w:rPr>
              <w:t>High delivered energy and large receipt scale.</w:t>
            </w:r>
          </w:p>
        </w:tc>
        <w:tc>
          <w:tcPr>
            <w:tcW w:w="3264" w:type="dxa"/>
            <w:vAlign w:val="center"/>
          </w:tcPr>
          <w:p w14:paraId="28F8AA22" w14:textId="77777777" w:rsidR="0037120C" w:rsidRDefault="00000000">
            <w:r>
              <w:rPr>
                <w:sz w:val="18"/>
              </w:rPr>
              <w:t>Focus on supply reliability, contract exposure, and bulk fuel procurement strategy.</w:t>
            </w:r>
          </w:p>
        </w:tc>
      </w:tr>
      <w:tr w:rsidR="0037120C" w14:paraId="2C4C0C47" w14:textId="77777777">
        <w:trPr>
          <w:jc w:val="center"/>
        </w:trPr>
        <w:tc>
          <w:tcPr>
            <w:tcW w:w="3264" w:type="dxa"/>
            <w:vAlign w:val="center"/>
          </w:tcPr>
          <w:p w14:paraId="2E171213" w14:textId="77777777" w:rsidR="0037120C" w:rsidRDefault="00000000">
            <w:r>
              <w:rPr>
                <w:sz w:val="18"/>
              </w:rPr>
              <w:t>Low-cost routine fuel receipts</w:t>
            </w:r>
          </w:p>
        </w:tc>
        <w:tc>
          <w:tcPr>
            <w:tcW w:w="3264" w:type="dxa"/>
            <w:vAlign w:val="center"/>
          </w:tcPr>
          <w:p w14:paraId="461D254A" w14:textId="77777777" w:rsidR="0037120C" w:rsidRDefault="00000000">
            <w:r>
              <w:rPr>
                <w:sz w:val="18"/>
              </w:rPr>
              <w:t>Routine delivery records with relatively low fuel-cost profile.</w:t>
            </w:r>
          </w:p>
        </w:tc>
        <w:tc>
          <w:tcPr>
            <w:tcW w:w="3264" w:type="dxa"/>
            <w:vAlign w:val="center"/>
          </w:tcPr>
          <w:p w14:paraId="672C5F2C" w14:textId="77777777" w:rsidR="0037120C" w:rsidRDefault="00000000">
            <w:r>
              <w:rPr>
                <w:sz w:val="18"/>
              </w:rPr>
              <w:t>Good benchmark group for normal procurement conditions.</w:t>
            </w:r>
          </w:p>
        </w:tc>
      </w:tr>
      <w:tr w:rsidR="0037120C" w14:paraId="405F6675" w14:textId="77777777">
        <w:trPr>
          <w:jc w:val="center"/>
        </w:trPr>
        <w:tc>
          <w:tcPr>
            <w:tcW w:w="3264" w:type="dxa"/>
            <w:vAlign w:val="center"/>
          </w:tcPr>
          <w:p w14:paraId="7C7FCBD8" w14:textId="77777777" w:rsidR="0037120C" w:rsidRDefault="00000000">
            <w:r>
              <w:rPr>
                <w:sz w:val="18"/>
              </w:rPr>
              <w:t>High-heat-content fuel receipts</w:t>
            </w:r>
          </w:p>
        </w:tc>
        <w:tc>
          <w:tcPr>
            <w:tcW w:w="3264" w:type="dxa"/>
            <w:vAlign w:val="center"/>
          </w:tcPr>
          <w:p w14:paraId="4DBC0552" w14:textId="77777777" w:rsidR="0037120C" w:rsidRDefault="00000000">
            <w:r>
              <w:rPr>
                <w:sz w:val="18"/>
              </w:rPr>
              <w:t>Fuel receipts with higher heat content per unit.</w:t>
            </w:r>
          </w:p>
        </w:tc>
        <w:tc>
          <w:tcPr>
            <w:tcW w:w="3264" w:type="dxa"/>
            <w:vAlign w:val="center"/>
          </w:tcPr>
          <w:p w14:paraId="4124EB30" w14:textId="77777777" w:rsidR="0037120C" w:rsidRDefault="00000000">
            <w:r>
              <w:rPr>
                <w:sz w:val="18"/>
              </w:rPr>
              <w:t>Useful for understanding efficient heat inputs and fuel quality differences.</w:t>
            </w:r>
          </w:p>
        </w:tc>
      </w:tr>
      <w:tr w:rsidR="0037120C" w14:paraId="5451BBD8" w14:textId="77777777">
        <w:trPr>
          <w:jc w:val="center"/>
        </w:trPr>
        <w:tc>
          <w:tcPr>
            <w:tcW w:w="3264" w:type="dxa"/>
            <w:vAlign w:val="center"/>
          </w:tcPr>
          <w:p w14:paraId="26EA5E10" w14:textId="77777777" w:rsidR="0037120C" w:rsidRDefault="00000000">
            <w:r>
              <w:rPr>
                <w:sz w:val="18"/>
              </w:rPr>
              <w:t>High-cost specialty or peaking fuel receipts</w:t>
            </w:r>
          </w:p>
        </w:tc>
        <w:tc>
          <w:tcPr>
            <w:tcW w:w="3264" w:type="dxa"/>
            <w:vAlign w:val="center"/>
          </w:tcPr>
          <w:p w14:paraId="08275133" w14:textId="77777777" w:rsidR="0037120C" w:rsidRDefault="00000000">
            <w:r>
              <w:rPr>
                <w:sz w:val="18"/>
              </w:rPr>
              <w:t>Records that tend to carry higher cost exposure or specialized fuel patterns.</w:t>
            </w:r>
          </w:p>
        </w:tc>
        <w:tc>
          <w:tcPr>
            <w:tcW w:w="3264" w:type="dxa"/>
            <w:vAlign w:val="center"/>
          </w:tcPr>
          <w:p w14:paraId="6762CCA5" w14:textId="77777777" w:rsidR="0037120C" w:rsidRDefault="00000000">
            <w:r>
              <w:rPr>
                <w:sz w:val="18"/>
              </w:rPr>
              <w:t>Use for risk monitoring, peaking fuel planning, and targeted cost review.</w:t>
            </w:r>
          </w:p>
        </w:tc>
      </w:tr>
    </w:tbl>
    <w:p w14:paraId="5EA02881" w14:textId="77777777" w:rsidR="0037120C" w:rsidRDefault="00000000">
      <w:pPr>
        <w:pStyle w:val="Heading2"/>
      </w:pPr>
      <w:r>
        <w:t>Regression and extra credit</w:t>
      </w:r>
    </w:p>
    <w:p w14:paraId="413ED14D" w14:textId="77777777" w:rsidR="0037120C" w:rsidRDefault="00000000">
      <w:r>
        <w:t>The extra-credit portion compares two multiple-linear regression models on the test set. The base model predicts fuel_cost_per_mmbtu from receipt scale and heat content. The second model adds cluster membership. If the cluster model lowers RMSE and MAE, then the segmentation is doing useful predictive work beyond the original numeric predictors.</w:t>
      </w:r>
    </w:p>
    <w:p w14:paraId="21F05B27" w14:textId="77777777" w:rsidR="0037120C" w:rsidRDefault="00000000">
      <w:pPr>
        <w:pStyle w:val="Heading1"/>
      </w:pPr>
      <w:r>
        <w:lastRenderedPageBreak/>
        <w:t>Recommendations</w:t>
      </w:r>
    </w:p>
    <w:p w14:paraId="1CE5BB64" w14:textId="77777777" w:rsidR="0037120C" w:rsidRDefault="00000000">
      <w:pPr>
        <w:pStyle w:val="ListBullet"/>
      </w:pPr>
      <w:r>
        <w:t>Use segmentation to separate routine fuel procurement from high-cost or specialty fuel activity.</w:t>
      </w:r>
    </w:p>
    <w:p w14:paraId="3452A519" w14:textId="77777777" w:rsidR="0037120C" w:rsidRDefault="00000000">
      <w:pPr>
        <w:pStyle w:val="ListBullet"/>
      </w:pPr>
      <w:r>
        <w:t>Review the high-cost cluster first for procurement risk, contract review, and exposure to price volatility.</w:t>
      </w:r>
    </w:p>
    <w:p w14:paraId="61948BA5" w14:textId="77777777" w:rsidR="0037120C" w:rsidRDefault="00000000">
      <w:pPr>
        <w:pStyle w:val="ListBullet"/>
      </w:pPr>
      <w:r>
        <w:t>Use large-volume clusters to monitor supply reliability and fuel-delivery concentration.</w:t>
      </w:r>
    </w:p>
    <w:p w14:paraId="1ABE116F" w14:textId="77777777" w:rsidR="0037120C" w:rsidRDefault="00000000">
      <w:pPr>
        <w:pStyle w:val="ListBullet"/>
      </w:pPr>
      <w:r>
        <w:t>Track cluster membership over time to see whether the fuel market is shifting toward different cost or operational patterns.</w:t>
      </w:r>
    </w:p>
    <w:p w14:paraId="08AF96A9" w14:textId="77777777" w:rsidR="0037120C" w:rsidRDefault="00000000">
      <w:pPr>
        <w:pStyle w:val="ListBullet"/>
      </w:pPr>
      <w:r>
        <w:t>Use the cluster-enhanced regression only if test-set performance improves after adding cluster membership.</w:t>
      </w:r>
    </w:p>
    <w:p w14:paraId="533381DF" w14:textId="77777777" w:rsidR="0037120C" w:rsidRDefault="00000000">
      <w:pPr>
        <w:pStyle w:val="Heading1"/>
      </w:pPr>
      <w:r>
        <w:t>Conclusions</w:t>
      </w:r>
    </w:p>
    <w:p w14:paraId="7A0A35DA" w14:textId="77777777" w:rsidR="0037120C" w:rsidRDefault="00000000">
      <w:r>
        <w:t>The central finding is that fuel receipts should not be managed as one broad national pool. Segmenting receipts by operational characteristics gives management a clearer view of purchasing patterns and cost exposure. A four-cluster k-means solution provides a practical balance between detail and interpretability, while the regression comparison tests whether the segmentation also helps predict fuel cost per MMBtu.</w:t>
      </w:r>
    </w:p>
    <w:p w14:paraId="74C0F756" w14:textId="77777777" w:rsidR="0037120C" w:rsidRDefault="00000000">
      <w:r>
        <w:t>The main limitations are that the analysis uses a 2% sample, some values are estimated or redacted, and fuel deliveries are not always aligned with the timing of actual fuel consumption. Despite those limitations, the method is reproducible and can be rerun as PUDL releases updated data.</w:t>
      </w:r>
    </w:p>
    <w:p w14:paraId="29DD83EC" w14:textId="77777777" w:rsidR="0037120C" w:rsidRDefault="00000000">
      <w:pPr>
        <w:pStyle w:val="Heading1"/>
      </w:pPr>
      <w:r>
        <w:t>References</w:t>
      </w:r>
    </w:p>
    <w:p w14:paraId="321ABAF2" w14:textId="77777777" w:rsidR="0037120C" w:rsidRDefault="00000000">
      <w:r>
        <w:t>Catalyst Cooperative. (2026). PUDL Data Viewer: out_eia923__monthly_fuel_receipts_costs. https://data.catalyst.coop/preview/pudl/out_eia923__monthly_fuel_receipts_costs</w:t>
      </w:r>
    </w:p>
    <w:p w14:paraId="468290F5" w14:textId="77777777" w:rsidR="0037120C" w:rsidRDefault="00000000">
      <w:r>
        <w:t>Kent State University. (2026). MIS 64060 Final Exam Instructions.</w:t>
      </w:r>
    </w:p>
    <w:p w14:paraId="19FFE5F1" w14:textId="77777777" w:rsidR="0037120C" w:rsidRDefault="00000000">
      <w:r>
        <w:t>Kent State University. (2026). Course materials on clustering, model evaluation, and predictive modeling.</w:t>
      </w:r>
    </w:p>
    <w:sectPr w:rsidR="0037120C"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C986D" w14:textId="77777777" w:rsidR="00771CCD" w:rsidRDefault="00771CCD">
      <w:pPr>
        <w:spacing w:after="0" w:line="240" w:lineRule="auto"/>
      </w:pPr>
      <w:r>
        <w:separator/>
      </w:r>
    </w:p>
  </w:endnote>
  <w:endnote w:type="continuationSeparator" w:id="0">
    <w:p w14:paraId="0A1DA900" w14:textId="77777777" w:rsidR="00771CCD" w:rsidRDefault="00771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2FD9" w14:textId="77777777" w:rsidR="0037120C" w:rsidRDefault="00000000">
    <w:pPr>
      <w:pStyle w:val="Footer"/>
      <w:jc w:val="center"/>
    </w:pPr>
    <w:r>
      <w:rPr>
        <w:color w:val="646464"/>
        <w:sz w:val="16"/>
      </w:rPr>
      <w:t>MIS 64060 Final Exam | Fuel Receipt Segmentation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EA51F" w14:textId="77777777" w:rsidR="00771CCD" w:rsidRDefault="00771CCD">
      <w:pPr>
        <w:spacing w:after="0" w:line="240" w:lineRule="auto"/>
      </w:pPr>
      <w:r>
        <w:separator/>
      </w:r>
    </w:p>
  </w:footnote>
  <w:footnote w:type="continuationSeparator" w:id="0">
    <w:p w14:paraId="756026BE" w14:textId="77777777" w:rsidR="00771CCD" w:rsidRDefault="00771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886786">
    <w:abstractNumId w:val="8"/>
  </w:num>
  <w:num w:numId="2" w16cid:durableId="82184533">
    <w:abstractNumId w:val="6"/>
  </w:num>
  <w:num w:numId="3" w16cid:durableId="224027415">
    <w:abstractNumId w:val="5"/>
  </w:num>
  <w:num w:numId="4" w16cid:durableId="1226798489">
    <w:abstractNumId w:val="4"/>
  </w:num>
  <w:num w:numId="5" w16cid:durableId="778833962">
    <w:abstractNumId w:val="7"/>
  </w:num>
  <w:num w:numId="6" w16cid:durableId="1836795307">
    <w:abstractNumId w:val="3"/>
  </w:num>
  <w:num w:numId="7" w16cid:durableId="1914582803">
    <w:abstractNumId w:val="2"/>
  </w:num>
  <w:num w:numId="8" w16cid:durableId="1663462083">
    <w:abstractNumId w:val="1"/>
  </w:num>
  <w:num w:numId="9" w16cid:durableId="549725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A62"/>
    <w:rsid w:val="0006063C"/>
    <w:rsid w:val="0015074B"/>
    <w:rsid w:val="0029639D"/>
    <w:rsid w:val="00326F90"/>
    <w:rsid w:val="0037120C"/>
    <w:rsid w:val="006130C1"/>
    <w:rsid w:val="00771CCD"/>
    <w:rsid w:val="00AA1D8D"/>
    <w:rsid w:val="00B47730"/>
    <w:rsid w:val="00BD31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72AA6"/>
  <w14:defaultImageDpi w14:val="300"/>
  <w15:docId w15:val="{AF8FFBEA-2BF1-1B45-AC4C-D35B1CE0E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1144</Words>
  <Characters>6955</Characters>
  <Application>Microsoft Office Word</Application>
  <DocSecurity>0</DocSecurity>
  <Lines>135</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Lambert</dc:creator>
  <cp:keywords/>
  <dc:description>Final Exam: Machine Learning</dc:description>
  <cp:lastModifiedBy>Steve Lambert</cp:lastModifiedBy>
  <cp:revision>3</cp:revision>
  <dcterms:created xsi:type="dcterms:W3CDTF">2013-12-23T23:15:00Z</dcterms:created>
  <dcterms:modified xsi:type="dcterms:W3CDTF">2026-06-19T14:04:00Z</dcterms:modified>
  <cp:category/>
</cp:coreProperties>
</file>