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534CF8"/>
          <w:spacing w:val="20"/>
          <w:sz w:val="16"/>
          <w:szCs w:val="16"/>
        </w:rPr>
        <w:t xml:space="preserve">SAFERPLACES × CLIMERA / KRAEKEN</w:t>
      </w:r>
    </w:p>
    <w:p>
      <w:pPr>
        <w:pStyle w:val="Title"/>
        <w:spacing w:after="160"/>
      </w:pPr>
      <w:r>
        <w:rPr>
          <w:b/>
          <w:bCs/>
          <w:color w:val="363636"/>
          <w:sz w:val="40"/>
          <w:szCs w:val="40"/>
        </w:rPr>
        <w:t xml:space="preserve">Scenario matrix for the Boismont &amp; Givors cross-validation</w:t>
      </w:r>
    </w:p>
    <w:p>
      <w:pPr>
        <w:spacing w:after="300"/>
      </w:pPr>
      <w:r>
        <w:rPr>
          <w:color w:val="5A5F66"/>
          <w:sz w:val="22"/>
          <w:szCs w:val="22"/>
        </w:rPr>
        <w:t xml:space="preserve">Forcing scenarios prepared for the joint flood-model comparison with Climera/Kraeken (contact: Priscille Béguin): extreme sea levels for the Boismont coastal test site and design rainfall for the Givors pluvial test site, across three return periods and two emission pathways at two horizons.</w:t>
      </w:r>
    </w:p>
    <w:p>
      <w:pPr>
        <w:spacing w:after="300"/>
      </w:pPr>
      <w:r>
        <w:rPr>
          <w:color w:val="858B93"/>
          <w:sz w:val="18"/>
          <w:szCs w:val="18"/>
        </w:rPr>
        <w:t xml:space="preserve">Status: </w:t>
      </w:r>
      <w:r>
        <w:rPr>
          <w:b/>
          <w:bCs/>
          <w:color w:val="363636"/>
          <w:sz w:val="18"/>
          <w:szCs w:val="18"/>
        </w:rPr>
        <w:t xml:space="preserve">NDA signed</w:t>
      </w:r>
      <w:r>
        <w:rPr>
          <w:sz w:val="18"/>
          <w:szCs w:val="18"/>
        </w:rPr>
        <w:t xml:space="preserve">    </w:t>
      </w:r>
      <w:r>
        <w:rPr>
          <w:color w:val="858B93"/>
          <w:sz w:val="18"/>
          <w:szCs w:val="18"/>
        </w:rPr>
        <w:t xml:space="preserve">Return periods: </w:t>
      </w:r>
      <w:r>
        <w:rPr>
          <w:b/>
          <w:bCs/>
          <w:color w:val="363636"/>
          <w:sz w:val="18"/>
          <w:szCs w:val="18"/>
        </w:rPr>
        <w:t xml:space="preserve">5 · 10 · 100 yr</w:t>
      </w:r>
      <w:r>
        <w:rPr>
          <w:sz w:val="18"/>
          <w:szCs w:val="18"/>
        </w:rPr>
        <w:t xml:space="preserve">    </w:t>
      </w:r>
      <w:r>
        <w:rPr>
          <w:color w:val="858B93"/>
          <w:sz w:val="18"/>
          <w:szCs w:val="18"/>
        </w:rPr>
        <w:t xml:space="preserve">Pathways: </w:t>
      </w:r>
      <w:r>
        <w:rPr>
          <w:b/>
          <w:bCs/>
          <w:color w:val="363636"/>
          <w:sz w:val="18"/>
          <w:szCs w:val="18"/>
        </w:rPr>
        <w:t xml:space="preserve">historical · SSP2-4.5 · SSP5-8.5</w:t>
      </w:r>
    </w:p>
    <w:p>
      <w:pPr>
        <w:spacing w:after="300"/>
      </w:pPr>
      <w:r>
        <w:rPr>
          <w:color w:val="858B93"/>
          <w:sz w:val="18"/>
          <w:szCs w:val="18"/>
        </w:rPr>
        <w:t xml:space="preserve">Horizons: </w:t>
      </w:r>
      <w:r>
        <w:rPr>
          <w:b/>
          <w:bCs/>
          <w:color w:val="363636"/>
          <w:sz w:val="18"/>
          <w:szCs w:val="18"/>
        </w:rPr>
        <w:t xml:space="preserve">2050 · 2080</w:t>
      </w:r>
      <w:r>
        <w:rPr>
          <w:sz w:val="18"/>
          <w:szCs w:val="18"/>
        </w:rPr>
        <w:t xml:space="preserve">    </w:t>
      </w:r>
      <w:r>
        <w:rPr>
          <w:color w:val="858B93"/>
          <w:sz w:val="18"/>
          <w:szCs w:val="18"/>
        </w:rPr>
        <w:t xml:space="preserve">Handover: </w:t>
      </w:r>
      <w:r>
        <w:rPr>
          <w:b/>
          <w:bCs/>
          <w:color w:val="363636"/>
          <w:sz w:val="18"/>
          <w:szCs w:val="18"/>
        </w:rPr>
        <w:t xml:space="preserve">Tangi from Nov. 2026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0"/>
      </w:tblGrid>
      <w:tr>
        <w:tc>
          <w:tcPr>
            <w:tcW w:type="dxa" w:w="9550"/>
            <w:tcBorders>
              <w:top w:val="single" w:color="E2E7EC" w:sz="2"/>
              <w:left w:val="single" w:color="E2E7EC" w:sz="2"/>
              <w:bottom w:val="single" w:color="E2E7EC" w:sz="2"/>
              <w:right w:val="single" w:color="E2E7EC" w:sz="2"/>
            </w:tcBorders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534CF8"/>
                <w:spacing w:val="15"/>
                <w:sz w:val="14"/>
                <w:szCs w:val="14"/>
              </w:rPr>
              <w:t xml:space="preserve">COASTAL</w:t>
            </w:r>
          </w:p>
          <w:p>
            <w:pPr>
              <w:spacing w:after="100"/>
            </w:pPr>
            <w:r>
              <w:rPr>
                <w:b/>
                <w:bCs/>
                <w:color w:val="363636"/>
                <w:sz w:val="24"/>
                <w:szCs w:val="24"/>
              </w:rPr>
              <w:t xml:space="preserve">Boismont</w:t>
            </w:r>
          </w:p>
          <w:p>
            <w:pPr>
              <w:spacing w:after="140"/>
            </w:pPr>
            <w:r>
              <w:rPr>
                <w:color w:val="5A5F66"/>
                <w:sz w:val="18"/>
                <w:szCs w:val="18"/>
              </w:rPr>
              <w:t xml:space="preserve">Somme estuary, Baie de Somme. Macrotidal regime (≈9–10 m spring range): extreme water levels are tide-dominated, with Atlantic storm surges of ≈0.5–1 m becoming critical only in coincidence with spring high tide. The village sits in the bas-champs behind the estuary embankments — flooding is an overtopping / breach mechanism, so total water level is read against crest elevation.</w:t>
            </w:r>
          </w:p>
          <w:p>
            <w:pPr>
              <w:pBdr>
                <w:top w:val="single" w:color="E2E7EC" w:sz="2" w:space="6"/>
              </w:pBdr>
            </w:pPr>
            <w:r>
              <w:rPr>
                <w:rFonts w:ascii="Consolas" w:cs="Consolas" w:eastAsia="Consolas" w:hAnsi="Consolas"/>
                <w:color w:val="858B93"/>
                <w:sz w:val="16"/>
                <w:szCs w:val="16"/>
              </w:rPr>
              <w:t xml:space="preserve">DEM IGN_RGE_ALTI_1M_235643 · EPSG:3857  —  180761.4, 6469750.8 : 190925.4, 6479754.8</w:t>
            </w:r>
          </w:p>
        </w:tc>
      </w:tr>
    </w:tbl>
    <w:p>
      <w:pPr>
        <w:spacing w:after="200"/>
      </w:pP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0"/>
      </w:tblGrid>
      <w:tr>
        <w:tc>
          <w:tcPr>
            <w:tcW w:type="dxa" w:w="9550"/>
            <w:tcBorders>
              <w:top w:val="single" w:color="E2E7EC" w:sz="2"/>
              <w:left w:val="single" w:color="E2E7EC" w:sz="2"/>
              <w:bottom w:val="single" w:color="E2E7EC" w:sz="2"/>
              <w:right w:val="single" w:color="E2E7EC" w:sz="2"/>
            </w:tcBorders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534CF8"/>
                <w:spacing w:val="15"/>
                <w:sz w:val="14"/>
                <w:szCs w:val="14"/>
              </w:rPr>
              <w:t xml:space="preserve">PLUVIAL</w:t>
            </w:r>
          </w:p>
          <w:p>
            <w:pPr>
              <w:spacing w:after="100"/>
            </w:pPr>
            <w:r>
              <w:rPr>
                <w:b/>
                <w:bCs/>
                <w:color w:val="363636"/>
                <w:sz w:val="24"/>
                <w:szCs w:val="24"/>
              </w:rPr>
              <w:t xml:space="preserve">Givors</w:t>
            </w:r>
          </w:p>
          <w:p>
            <w:pPr>
              <w:spacing w:after="140"/>
            </w:pPr>
            <w:r>
              <w:rPr>
                <w:color w:val="5A5F66"/>
                <w:sz w:val="18"/>
                <w:szCs w:val="18"/>
              </w:rPr>
              <w:t xml:space="preserve">Gier–Rhône confluence, south-west of Lyon. A catchment prone to convective flash floods (2008 and October 2024 events on the Gier). Design storms are estimated at two durations — 1 hour (convective peak) and 24 hours (event total) — from regional Gumbel parameters.</w:t>
            </w:r>
          </w:p>
          <w:p>
            <w:pPr>
              <w:pBdr>
                <w:top w:val="single" w:color="E2E7EC" w:sz="2" w:space="6"/>
              </w:pBdr>
            </w:pPr>
            <w:r>
              <w:rPr>
                <w:rFonts w:ascii="Consolas" w:cs="Consolas" w:eastAsia="Consolas" w:hAnsi="Consolas"/>
                <w:color w:val="858B93"/>
                <w:sz w:val="16"/>
                <w:szCs w:val="16"/>
              </w:rPr>
              <w:t xml:space="preserve">DEM IGN_RGE_ALTI_1M_120421 · EPSG:3857  —  526276.6, 5711163.5 : 534834.6, 5719471.5</w:t>
            </w:r>
          </w:p>
        </w:tc>
      </w:tr>
    </w:tbl>
    <w:p>
      <w:pPr>
        <w:pStyle w:val="Heading1"/>
        <w:spacing w:after="120" w:before="400"/>
      </w:pPr>
      <w:r>
        <w:rPr>
          <w:color w:val="363636"/>
        </w:rPr>
        <w:t xml:space="preserve">Boismont — extreme sea level (ESL)</w:t>
      </w:r>
    </w:p>
    <w:p>
      <w:pPr>
        <w:spacing w:after="180"/>
      </w:pPr>
      <w:r>
        <w:rPr>
          <w:color w:val="5A5F66"/>
          <w:sz w:val="20"/>
          <w:szCs w:val="20"/>
        </w:rPr>
        <w:t xml:space="preserve">Static extreme water level at the reference port (Le Hourdel / Saint-Valery), datum IGN69. Sea-level-rise projections (IPCC AR6, global median) are added to the historical return level at each horizon. Values in metres (IGN69).</w:t>
      </w:r>
    </w:p>
    <w:tbl>
      <w:tblPr>
        <w:tblW w:type="dxa" w:w="11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Return period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Historical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SSP2-4.5 · 2050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SSP2-4.5 · 2080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SSP5-8.5 · 2050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SSP5-8.5 · 2080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5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5.05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5.24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5.39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5.26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34CF8"/>
                <w:sz w:val="19"/>
                <w:szCs w:val="19"/>
              </w:rPr>
              <w:t xml:space="preserve">5.49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10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5.15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5.34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5.49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5.36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34CF8"/>
                <w:sz w:val="19"/>
                <w:szCs w:val="19"/>
              </w:rPr>
              <w:t xml:space="preserve">5.59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100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5.45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5.64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5.79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5.66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34CF8"/>
                <w:sz w:val="19"/>
                <w:szCs w:val="19"/>
              </w:rPr>
              <w:t xml:space="preserve">5.89</w:t>
            </w:r>
          </w:p>
        </w:tc>
      </w:tr>
    </w:tbl>
    <w:p>
      <w:pPr>
        <w:spacing w:after="0" w:before="200"/>
      </w:pP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0"/>
      </w:tblGrid>
      <w:tr>
        <w:tc>
          <w:tcPr>
            <w:tcW w:type="dxa" w:w="9550"/>
            <w:tcBorders>
              <w:top w:val="none"/>
              <w:left w:val="none"/>
              <w:bottom w:val="none"/>
              <w:right w:val="none"/>
            </w:tcBorders>
            <w:shd w:fill="FCF1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Return-period collapse.  </w:t>
            </w:r>
            <w:r>
              <w:rPr>
                <w:color w:val="5A5F66"/>
                <w:sz w:val="19"/>
                <w:szCs w:val="19"/>
              </w:rPr>
              <w:t xml:space="preserve">The macrotidal extremes curve is flat (≈40 cm between the 5- and 100-year levels). Under SSP2-4.5 by 2080, the projected 5-year ESL (5.39 m) is almost indistinguishable from today's historical 100-year level (5.45 m) — a water level that currently recurs once a century would recur roughly every five years instead.</w:t>
            </w:r>
          </w:p>
        </w:tc>
      </w:tr>
    </w:tbl>
    <w:p>
      <w:pPr>
        <w:pStyle w:val="Heading1"/>
        <w:spacing w:after="120" w:before="400"/>
      </w:pPr>
      <w:r>
        <w:rPr>
          <w:color w:val="363636"/>
        </w:rPr>
        <w:t xml:space="preserve">Givors — design rainfall</w:t>
      </w:r>
    </w:p>
    <w:p>
      <w:pPr>
        <w:spacing w:after="180"/>
      </w:pPr>
      <w:r>
        <w:rPr>
          <w:color w:val="5A5F66"/>
          <w:sz w:val="20"/>
          <w:szCs w:val="20"/>
        </w:rPr>
        <w:t xml:space="preserve">Depth estimates from regional Gumbel parameters (1 h: μ=25 mm, CV=0.40; 24 h: μ=55 mm, CV=0.35), scaled for climate change at +7%/°C against south-east France warming of +1.3/+1.9 °C (SSP2-4.5, 2050/2080) and +1.6/+3.0 °C (SSP5-8.5, 2050/2080).</w:t>
      </w:r>
    </w:p>
    <w:p>
      <w:pPr>
        <w:spacing w:after="100" w:before="200"/>
      </w:pPr>
      <w:r>
        <w:rPr>
          <w:b/>
          <w:bCs/>
          <w:color w:val="363636"/>
          <w:sz w:val="19"/>
          <w:szCs w:val="19"/>
        </w:rPr>
        <w:t xml:space="preserve">1-hour duration (mm)</w:t>
      </w:r>
    </w:p>
    <w:tbl>
      <w:tblPr>
        <w:tblW w:type="dxa" w:w="11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Return period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Historical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SSP2-4.5 · 2050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SSP2-4.5 · 2080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SSP5-8.5 · 2050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SSP5-8.5 · 2080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5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32.2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35.2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36.6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35.9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34CF8"/>
                <w:sz w:val="19"/>
                <w:szCs w:val="19"/>
              </w:rPr>
              <w:t xml:space="preserve">39.4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10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38.0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41.5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43.3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42.4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34CF8"/>
                <w:sz w:val="19"/>
                <w:szCs w:val="19"/>
              </w:rPr>
              <w:t xml:space="preserve">46.6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100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56.4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61.5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64.1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62.8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34CF8"/>
                <w:sz w:val="19"/>
                <w:szCs w:val="19"/>
              </w:rPr>
              <w:t xml:space="preserve">69.0</w:t>
            </w:r>
          </w:p>
        </w:tc>
      </w:tr>
    </w:tbl>
    <w:p>
      <w:pPr>
        <w:spacing w:after="100" w:before="200"/>
      </w:pPr>
      <w:r>
        <w:rPr>
          <w:b/>
          <w:bCs/>
          <w:color w:val="363636"/>
          <w:sz w:val="19"/>
          <w:szCs w:val="19"/>
        </w:rPr>
        <w:t xml:space="preserve">24-hour duration (mm)</w:t>
      </w:r>
    </w:p>
    <w:tbl>
      <w:tblPr>
        <w:tblW w:type="dxa" w:w="11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Return period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Historical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SSP2-4.5 · 2050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SSP2-4.5 · 2080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SSP5-8.5 · 2050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58B93"/>
                <w:sz w:val="15"/>
                <w:szCs w:val="15"/>
              </w:rPr>
              <w:t xml:space="preserve">SSP5-8.5 · 2080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5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68.8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75.2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78.3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76.7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84.3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10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80.1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87.5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91.1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89.3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98.1</w:t>
            </w:r>
          </w:p>
        </w:tc>
      </w:tr>
      <w:tr>
        <w:tc>
          <w:tcPr>
            <w:tcW w:type="dxa" w:w="200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100 years</w:t>
            </w:r>
          </w:p>
        </w:tc>
        <w:tc>
          <w:tcPr>
            <w:tcW w:type="dxa" w:w="17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115.4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126.0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131.2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128.5</w:t>
            </w:r>
          </w:p>
        </w:tc>
        <w:tc>
          <w:tcPr>
            <w:tcW w:type="dxa" w:w="1950"/>
            <w:tcBorders>
              <w:top w:val="single" w:color="E2E7EC" w:sz="2"/>
              <w:left w:val="none"/>
              <w:bottom w:val="single" w:color="E2E7EC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63636"/>
                <w:sz w:val="19"/>
                <w:szCs w:val="19"/>
              </w:rPr>
              <w:t xml:space="preserve">141.3</w:t>
            </w:r>
          </w:p>
        </w:tc>
      </w:tr>
    </w:tbl>
    <w:p>
      <w:pPr>
        <w:spacing w:after="0" w:before="200"/>
      </w:pP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0"/>
      </w:tblGrid>
      <w:tr>
        <w:tc>
          <w:tcPr>
            <w:tcW w:type="dxa" w:w="9550"/>
            <w:tcBorders>
              <w:top w:val="none"/>
              <w:left w:val="none"/>
              <w:bottom w:val="none"/>
              <w:right w:val="none"/>
            </w:tcBorders>
            <w:shd w:fill="E9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363636"/>
                <w:sz w:val="19"/>
                <w:szCs w:val="19"/>
              </w:rPr>
              <w:t xml:space="preserve">Sub-daily sensitivity.  </w:t>
            </w:r>
            <w:r>
              <w:rPr>
                <w:color w:val="5A5F66"/>
                <w:sz w:val="19"/>
                <w:szCs w:val="19"/>
              </w:rPr>
              <w:t xml:space="preserve">Short-duration convective rainfall can scale faster than the simple Clausius-Clapeyron rate (+7%/°C). At +14%/°C (“super-CC”), the 1-hour, 100-year, SSP5-8.5 2080 depth would reach ≈85 mm rather than 69.0 mm. The 24-hour totals are considered adequately represented by the simple scaling.</w:t>
            </w:r>
          </w:p>
        </w:tc>
      </w:tr>
    </w:tbl>
    <w:p>
      <w:pPr>
        <w:pStyle w:val="Heading1"/>
        <w:spacing w:after="120" w:before="400"/>
      </w:pPr>
      <w:r>
        <w:rPr>
          <w:color w:val="363636"/>
        </w:rPr>
        <w:t xml:space="preserve">Data sources &amp; 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A5F66"/>
          <w:sz w:val="19"/>
          <w:szCs w:val="19"/>
        </w:rPr>
        <w:t xml:space="preserve">Boismont ESL: reference port statistics (Le Hourdel / Saint-Valery), IGN69 datum; sea-level-rise addenda from IPCC AR6 global medians for the eastern English Channel, negligible local subsidence.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A5F66"/>
          <w:sz w:val="19"/>
          <w:szCs w:val="19"/>
        </w:rPr>
        <w:t xml:space="preserve">Givors rainfall: regional Gumbel fit for the Lyon area; climate-change scaling applied via Clausius-Clapeyron against south-east France regional warming trajectories.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color w:val="5A5F66"/>
          <w:sz w:val="19"/>
          <w:szCs w:val="19"/>
        </w:rPr>
        <w:t xml:space="preserve">Elevation data: IGN RGE ALTI® 1 m DEM for both sites (EPSG:3857).</w:t>
      </w:r>
    </w:p>
    <w:p>
      <w:pPr>
        <w:spacing w:after="400"/>
      </w:pPr>
      <w:r>
        <w:rPr>
          <w:i/>
          <w:iCs/>
          <w:color w:val="858B93"/>
          <w:sz w:val="18"/>
          <w:szCs w:val="18"/>
        </w:rPr>
        <w:t xml:space="preserve">Figures to be cross-checked against SHOM/Cerema published return-level tables and Climera's own sea-level-rise dataset before final sign-off.</w:t>
      </w:r>
    </w:p>
    <w:p>
      <w:pPr>
        <w:pBdr>
          <w:top w:val="single" w:color="E2E7EC" w:sz="4" w:space="8"/>
        </w:pBdr>
        <w:spacing w:before="200"/>
      </w:pPr>
      <w:r>
        <w:rPr>
          <w:b/>
          <w:bCs/>
          <w:color w:val="363636"/>
          <w:sz w:val="20"/>
          <w:szCs w:val="20"/>
        </w:rPr>
        <w:t xml:space="preserve">SaferPlaces</w:t>
      </w:r>
    </w:p>
    <w:p>
      <w:r>
        <w:rPr>
          <w:color w:val="858B93"/>
          <w:sz w:val="16"/>
          <w:szCs w:val="16"/>
        </w:rPr>
        <w:t xml:space="preserve">GECOsistema S.r.l. · Piazza Malatesta, 21 · 47923 Rimini (RN) Italia · platform@saferplaces.co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2026-10-06T12:46:38.234Z</dcterms:created>
  <dcterms:modified xsi:type="dcterms:W3CDTF">2026-10-06T12:46:38.235Z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