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20"/>
        <w:jc w:val="both"/>
        <w:spacing w:before="0" w:after="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Вы новый менеджер проекта, находящегося на стадии исполнения. Предыдущий менеджер перед уходом сообщил вам следующую информацию: </w:t>
      </w:r>
      <w:r/>
    </w:p>
    <w:p>
      <w:pPr>
        <w:pStyle w:val="30"/>
        <w:numPr>
          <w:ilvl w:val="0"/>
          <w:numId w:val="1"/>
        </w:numPr>
        <w:ind w:right="0"/>
        <w:jc w:val="both"/>
        <w:spacing w:before="0" w:after="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зафиксированная в базовом плане стоимость проекта – 60 миллионов рублей;</w:t>
      </w:r>
      <w:r/>
    </w:p>
    <w:p>
      <w:pPr>
        <w:pStyle w:val="30"/>
        <w:numPr>
          <w:ilvl w:val="0"/>
          <w:numId w:val="2"/>
        </w:numPr>
        <w:ind w:right="0"/>
        <w:jc w:val="both"/>
        <w:spacing w:before="0" w:after="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срок выполнения работ – 60 недель;</w:t>
      </w:r>
      <w:r/>
    </w:p>
    <w:p>
      <w:pPr>
        <w:pStyle w:val="30"/>
        <w:numPr>
          <w:ilvl w:val="0"/>
          <w:numId w:val="3"/>
        </w:numPr>
        <w:ind w:right="0"/>
        <w:jc w:val="both"/>
        <w:spacing w:before="0" w:after="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в базовое содержание проекта входят следующие работы: проектирование (занимает 8 недель), разработка 10 микросервисов (разработка каждого занимает 4 недели),  тестирование и завершение проекта (в совокупности занимают 12 недель).</w:t>
      </w:r>
      <w:r/>
    </w:p>
    <w:p>
      <w:pPr>
        <w:ind w:left="0" w:right="0" w:firstLine="720"/>
        <w:jc w:val="both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Завершилась 38-я неделя проекта. Из управленческой отчетности вы видите, что к этому моменту израсходовано 42 миллиона рублей. При этом из 10 микросервисов разработано 6. Руководство на очередной статусной встрече хвалит вас за быстрый вход в проект и ожид</w:t>
      </w:r>
      <w:r>
        <w:rPr>
          <w:rFonts w:ascii="Calibri" w:hAnsi="Calibri" w:eastAsia="Calibri" w:cs="Calibri"/>
          <w:color w:val="000000"/>
          <w:sz w:val="22"/>
        </w:rPr>
        <w:t xml:space="preserve">ает исполнения базового плана. Рассчитайте метрики освоенного объема исходя из имеющихся данных.</w:t>
      </w:r>
      <w:r/>
    </w:p>
    <w:tbl>
      <w:tblPr>
        <w:tblStyle w:val="4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3"/>
        <w:gridCol w:w="1893"/>
        <w:gridCol w:w="1968"/>
        <w:gridCol w:w="3678"/>
      </w:tblGrid>
      <w:tr>
        <w:trPr>
          <w:trHeight w:val="600"/>
        </w:trPr>
        <w:tc>
          <w:tcPr>
            <w:shd w:val="clear" w:color="a6a6a6" w:fill="a6a6a6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 xml:space="preserve">Метрика</w:t>
            </w:r>
            <w:r/>
          </w:p>
        </w:tc>
        <w:tc>
          <w:tcPr>
            <w:shd w:val="clear" w:color="a6a6a6" w:fill="a6a6a6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 xml:space="preserve">Расчет</w:t>
            </w:r>
            <w:r/>
          </w:p>
        </w:tc>
        <w:tc>
          <w:tcPr>
            <w:shd w:val="clear" w:color="a6a6a6" w:fill="a6a6a6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 xml:space="preserve">Ответ</w:t>
            </w:r>
            <w:r/>
          </w:p>
        </w:tc>
        <w:tc>
          <w:tcPr>
            <w:shd w:val="clear" w:color="a6a6a6" w:fill="a6a6a6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 xml:space="preserve">Интерпретация ответа</w:t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PV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EV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</w:r>
            <w:r/>
          </w:p>
        </w:tc>
      </w:tr>
      <w:tr>
        <w:trPr>
          <w:trHeight w:val="369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AC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BAC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CV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CPI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SV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SPI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EAC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ETC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96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VAC</w:t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196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367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404040"/>
                <w:sz w:val="22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R7-Office/7.2.1.14</Application>
  <Company>c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Korsaya Inal</dc:creator>
  <cp:keywords/>
  <dc:description/>
  <cp:lastModifiedBy>metodist@gb.ru</cp:lastModifiedBy>
  <cp:revision>3</cp:revision>
  <dcterms:created xsi:type="dcterms:W3CDTF">2022-12-19T22:25:00Z</dcterms:created>
  <dcterms:modified xsi:type="dcterms:W3CDTF">2023-02-14T11:04:55Z</dcterms:modified>
</cp:coreProperties>
</file>