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>
          <w:rFonts w:ascii="Ubuntu" w:hAnsi="Ubuntu"/>
        </w:rPr>
      </w:pPr>
      <w:r>
        <w:rPr>
          <w:rStyle w:val="Muydestacado"/>
          <w:rFonts w:ascii="Ubuntu" w:hAnsi="Ubuntu"/>
        </w:rPr>
        <w:t>RV32I ISA Compliance</w:t>
      </w:r>
    </w:p>
    <w:p>
      <w:pPr>
        <w:pStyle w:val="Ttulo2"/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Todo lo que verifica que tu core </w:t>
      </w:r>
      <w:r>
        <w:rPr>
          <w:rStyle w:val="Muydestacado"/>
        </w:rPr>
        <w:t>ejecuta correctamente la especificación RISC-V RV32I</w:t>
      </w:r>
      <w:r>
        <w:rPr/>
        <w:t>, independientemente de cómo esté implementado.</w:t>
      </w:r>
    </w:p>
    <w:p>
      <w:pPr>
        <w:pStyle w:val="Ttulo3"/>
        <w:rPr/>
      </w:pPr>
      <w:r>
        <w:rPr/>
        <w:t>Cubre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Todas las instrucciones RV32I: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Integer arithmetic: </w:t>
      </w:r>
      <w:r>
        <w:rPr>
          <w:rStyle w:val="Textooriginal"/>
        </w:rPr>
        <w:t>ADD, SUB, AND, OR, XOR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Shifts: </w:t>
      </w:r>
      <w:r>
        <w:rPr>
          <w:rStyle w:val="Textooriginal"/>
        </w:rPr>
        <w:t>SLL, SRL, SRA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Comparisons: </w:t>
      </w:r>
      <w:r>
        <w:rPr>
          <w:rStyle w:val="Textooriginal"/>
        </w:rPr>
        <w:t>SLT, SLTU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Immediate versions (</w:t>
      </w:r>
      <w:r>
        <w:rPr>
          <w:rStyle w:val="Textooriginal"/>
        </w:rPr>
        <w:t>ADDI</w:t>
      </w:r>
      <w:r>
        <w:rPr/>
        <w:t xml:space="preserve">, </w:t>
      </w:r>
      <w:r>
        <w:rPr>
          <w:rStyle w:val="Textooriginal"/>
        </w:rPr>
        <w:t>SLTI</w:t>
      </w:r>
      <w:r>
        <w:rPr/>
        <w:t>, …)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Control-flow: </w:t>
      </w:r>
      <w:r>
        <w:rPr>
          <w:rStyle w:val="Textooriginal"/>
        </w:rPr>
        <w:t>BEQ, BNE, BLT, BGE, JAL, JALR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Loads/stores: </w:t>
      </w:r>
      <w:r>
        <w:rPr>
          <w:rStyle w:val="Textooriginal"/>
        </w:rPr>
        <w:t>LB, LH, LW, LBU, LHU, SB, SH, SW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 xml:space="preserve">Upper immediates: </w:t>
      </w:r>
      <w:r>
        <w:rPr>
          <w:rStyle w:val="Textooriginal"/>
        </w:rPr>
        <w:t>LUI, AUIPC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Correct update of architectural state: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PC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x0–x31 (x0 always zero)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Correct sign extension rules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Correct branch conditions (signed vs unsigned)</w:t>
      </w:r>
    </w:p>
    <w:p>
      <w:pPr>
        <w:pStyle w:val="Ttulo3"/>
        <w:rPr/>
      </w:pPr>
      <w:r>
        <w:rPr/>
        <w:t>NO incluye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Cómo está hecho el datapath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Señales internas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Timing/ciclos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GPIO o MMIO específico</w:t>
      </w:r>
    </w:p>
    <w:p>
      <w:pPr>
        <w:pStyle w:val="Ttulo3"/>
        <w:rPr/>
      </w:pPr>
      <w:r>
        <w:rPr/>
        <w:t>Tests típicos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>
          <w:rStyle w:val="Muydestacado"/>
        </w:rPr>
        <w:t>riscv-tests</w:t>
      </w:r>
      <w:r>
        <w:rPr/>
        <w:t xml:space="preserve"> (</w:t>
      </w:r>
      <w:r>
        <w:rPr>
          <w:rStyle w:val="Textooriginal"/>
        </w:rPr>
        <w:t>rv32ui-p-*</w:t>
      </w:r>
      <w:r>
        <w:rPr/>
        <w:t>)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Directed instruction 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Golden model comparison (Spike)</w:t>
      </w:r>
    </w:p>
    <w:p>
      <w:pPr>
        <w:pStyle w:val="Lneahorizontal"/>
        <w:rPr/>
      </w:pPr>
      <w:r>
        <w:rPr/>
      </w:r>
    </w:p>
    <w:p>
      <w:pPr>
        <w:pStyle w:val="Cuerpodetexto"/>
        <w:spacing w:before="0" w:after="140"/>
        <w:rPr>
          <w:rStyle w:val="Muydestacado"/>
          <w:rFonts w:ascii="Ubuntu" w:hAnsi="Ubuntu"/>
        </w:rPr>
      </w:pPr>
      <w:r>
        <w:rPr>
          <w:rFonts w:ascii="Ubuntu" w:hAnsi="Ubuntu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Destacado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LibreOffice/6.0.7.3$Linux_X86_64 LibreOffice_project/00m0$Build-3</Application>
  <Pages>1</Pages>
  <Words>133</Words>
  <Characters>687</Characters>
  <CharactersWithSpaces>773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2026-02-21T17:35:16Z</dcterms:modified>
  <cp:revision>2</cp:revision>
  <dc:subject/>
  <dc:title/>
</cp:coreProperties>
</file>