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360" w:lineRule="auto"/>
        <w:jc w:val="center"/>
      </w:pPr>
      <w:r>
        <w:rPr>
          <w:rFonts w:ascii="Times New Roman" w:cs="Times New Roman" w:eastAsia="Times New Roman" w:hAnsi="Times New Roman"/>
          <w:b/>
          <w:bCs/>
          <w:sz w:val="28"/>
          <w:szCs w:val="28"/>
        </w:rPr>
        <w:t xml:space="preserve">Preeclampsia Risk Prediction with Algorithmic Fairness Analysis: A Clinical Artificial Intelligence Prototype</w:t>
      </w:r>
    </w:p>
    <w:p>
      <w:pPr>
        <w:spacing w:after="320" w:before="0" w:line="360" w:lineRule="auto"/>
        <w:jc w:val="center"/>
      </w:pPr>
      <w:r>
        <w:rPr>
          <w:rFonts w:ascii="Times New Roman" w:cs="Times New Roman" w:eastAsia="Times New Roman" w:hAnsi="Times New Roman"/>
          <w:sz w:val="24"/>
          <w:szCs w:val="24"/>
        </w:rPr>
        <w:t xml:space="preserve">[Co-Author Name]</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u w:val="single"/>
        </w:rPr>
        <w:t xml:space="preserve">[Your Name]</w:t>
      </w:r>
      <w:r>
        <w:rPr>
          <w:rFonts w:ascii="Times New Roman" w:cs="Times New Roman" w:eastAsia="Times New Roman" w:hAnsi="Times New Roman"/>
          <w:sz w:val="24"/>
          <w:szCs w:val="24"/>
        </w:rPr>
        <w:t xml:space="preserve">, [Supervisor Name]</w:t>
      </w:r>
      <w:r>
        <w:rPr>
          <w:rFonts w:ascii="Times New Roman" w:cs="Times New Roman" w:eastAsia="Times New Roman" w:hAnsi="Times New Roman"/>
          <w:sz w:val="24"/>
          <w:szCs w:val="24"/>
        </w:rPr>
        <w:t xml:space="preserve">
King Edward Medical University, Lahore, Pakistan</w:t>
      </w:r>
    </w:p>
    <w:p>
      <w:pPr>
        <w:spacing w:after="60" w:before="160" w:line="360" w:lineRule="auto"/>
      </w:pPr>
      <w:r>
        <w:rPr>
          <w:rFonts w:ascii="Times New Roman" w:cs="Times New Roman" w:eastAsia="Times New Roman" w:hAnsi="Times New Roman"/>
          <w:b/>
          <w:bCs/>
          <w:sz w:val="24"/>
          <w:szCs w:val="24"/>
        </w:rPr>
        <w:t xml:space="preserve">A) Problem Statement</w:t>
      </w:r>
    </w:p>
    <w:p>
      <w:pPr>
        <w:spacing w:after="80" w:before="0" w:line="360" w:lineRule="auto"/>
      </w:pPr>
      <w:r>
        <w:rPr>
          <w:rFonts w:ascii="Times New Roman" w:cs="Times New Roman" w:eastAsia="Times New Roman" w:hAnsi="Times New Roman"/>
          <w:sz w:val="24"/>
          <w:szCs w:val="24"/>
        </w:rPr>
        <w:t xml:space="preserve">Preeclampsia affects 5–8% of pregnancies globally and is a leading cause of maternal and perinatal mortality. Delayed diagnosis is common, particularly in South Asian settings with limited antenatal screening infrastructure. Existing clinical risk calculators fail to model non-linear biomarker interactions, and available artificial intelligence tools exhibit documented performance disparities across ethnic subgroups — clinically significant given that Black and South Asian women face disproportionately higher incidence yet receive later diagnoses.</w:t>
      </w:r>
    </w:p>
    <w:p>
      <w:pPr>
        <w:spacing w:after="60" w:before="160" w:line="360" w:lineRule="auto"/>
      </w:pPr>
      <w:r>
        <w:rPr>
          <w:rFonts w:ascii="Times New Roman" w:cs="Times New Roman" w:eastAsia="Times New Roman" w:hAnsi="Times New Roman"/>
          <w:b/>
          <w:bCs/>
          <w:sz w:val="24"/>
          <w:szCs w:val="24"/>
        </w:rPr>
        <w:t xml:space="preserve">B) Target User and Deployment Context</w:t>
      </w:r>
    </w:p>
    <w:p>
      <w:pPr>
        <w:spacing w:after="80" w:before="0" w:line="360" w:lineRule="auto"/>
      </w:pPr>
      <w:r>
        <w:rPr>
          <w:rFonts w:ascii="Times New Roman" w:cs="Times New Roman" w:eastAsia="Times New Roman" w:hAnsi="Times New Roman"/>
          <w:sz w:val="24"/>
          <w:szCs w:val="24"/>
        </w:rPr>
        <w:t xml:space="preserve">Primary users are obstetricians and midwives conducting first-trimester antenatal consultations (11–13+6 weeks of gestation) in tertiary obstetric units with access to uterine artery pulsatility index and placental growth factor measurements, with no additional hardware requirements.</w:t>
      </w:r>
    </w:p>
    <w:p>
      <w:pPr>
        <w:spacing w:after="60" w:before="160" w:line="360" w:lineRule="auto"/>
      </w:pPr>
      <w:r>
        <w:rPr>
          <w:rFonts w:ascii="Times New Roman" w:cs="Times New Roman" w:eastAsia="Times New Roman" w:hAnsi="Times New Roman"/>
          <w:b/>
          <w:bCs/>
          <w:sz w:val="24"/>
          <w:szCs w:val="24"/>
        </w:rPr>
        <w:t xml:space="preserve">C) Justification for Artificial Intelligence</w:t>
      </w:r>
    </w:p>
    <w:p>
      <w:pPr>
        <w:spacing w:after="80" w:before="0" w:line="360" w:lineRule="auto"/>
      </w:pPr>
      <w:r>
        <w:rPr>
          <w:rFonts w:ascii="Times New Roman" w:cs="Times New Roman" w:eastAsia="Times New Roman" w:hAnsi="Times New Roman"/>
          <w:sz w:val="24"/>
          <w:szCs w:val="24"/>
        </w:rPr>
        <w:t xml:space="preserve">First-trimester preeclampsia risk is determined by non-linear interactions between continuous biomarkers — mean arterial pressure, placental growth factor, and uterine artery pulsatility index — that conventional logistic regression and scoring tools fail to capture. Gradient-boosted machine learning with integrated explainability achieves superior discriminative performance while retaining per-patient interpretability, a combination not achievable with simpler tools.</w:t>
      </w:r>
    </w:p>
    <w:p>
      <w:pPr>
        <w:spacing w:after="60" w:before="160" w:line="360" w:lineRule="auto"/>
      </w:pPr>
      <w:r>
        <w:rPr>
          <w:rFonts w:ascii="Times New Roman" w:cs="Times New Roman" w:eastAsia="Times New Roman" w:hAnsi="Times New Roman"/>
          <w:b/>
          <w:bCs/>
          <w:sz w:val="24"/>
          <w:szCs w:val="24"/>
        </w:rPr>
        <w:t xml:space="preserve">D) Artificial Intelligence Methodology</w:t>
      </w:r>
    </w:p>
    <w:p>
      <w:pPr>
        <w:spacing w:after="80" w:before="0" w:line="360" w:lineRule="auto"/>
      </w:pPr>
      <w:r>
        <w:rPr>
          <w:rFonts w:ascii="Times New Roman" w:cs="Times New Roman" w:eastAsia="Times New Roman" w:hAnsi="Times New Roman"/>
          <w:sz w:val="24"/>
          <w:szCs w:val="24"/>
        </w:rPr>
        <w:t xml:space="preserve">An XGBoost binary classifier was trained on first-trimester clinical predictors. SHapley Additive exPlanations (SHAP) values were computed for per-patient feature attribution. Fairlearn's MetricFrame audited model performance across four ethnic subgroups (White, Black, Asian, Hispanic), measuring area under the receiver operating characteristic curve, false negative rate, and false positive rate.</w:t>
      </w:r>
    </w:p>
    <w:p>
      <w:pPr>
        <w:spacing w:after="60" w:before="160" w:line="360" w:lineRule="auto"/>
      </w:pPr>
      <w:r>
        <w:rPr>
          <w:rFonts w:ascii="Times New Roman" w:cs="Times New Roman" w:eastAsia="Times New Roman" w:hAnsi="Times New Roman"/>
          <w:b/>
          <w:bCs/>
          <w:sz w:val="24"/>
          <w:szCs w:val="24"/>
        </w:rPr>
        <w:t xml:space="preserve">E) Data Source and Input-Output</w:t>
      </w:r>
    </w:p>
    <w:p>
      <w:pPr>
        <w:spacing w:after="80" w:before="0" w:line="360" w:lineRule="auto"/>
      </w:pPr>
      <w:r>
        <w:rPr>
          <w:rFonts w:ascii="Times New Roman" w:cs="Times New Roman" w:eastAsia="Times New Roman" w:hAnsi="Times New Roman"/>
          <w:sz w:val="24"/>
          <w:szCs w:val="24"/>
        </w:rPr>
        <w:t xml:space="preserve">A synthetic dataset (n=1,000) was generated from published population distributions — ASPRE trial and Fetal Medicine Foundation screening cohorts — reflecting documented demographic distributions. Inputs: maternal age, body mass index, mean arterial pressure, uterine artery pulsatility index, placental growth factor, ethnicity, chronic hypertension, and prior preeclampsia history. Output: risk probability (0–1) with 90% confidence interval, SHAP waterfall explanation, and subgroup fairness metrics.</w:t>
      </w:r>
    </w:p>
    <w:p>
      <w:pPr>
        <w:spacing w:after="60" w:before="160" w:line="360" w:lineRule="auto"/>
      </w:pPr>
      <w:r>
        <w:rPr>
          <w:rFonts w:ascii="Times New Roman" w:cs="Times New Roman" w:eastAsia="Times New Roman" w:hAnsi="Times New Roman"/>
          <w:b/>
          <w:bCs/>
          <w:sz w:val="24"/>
          <w:szCs w:val="24"/>
        </w:rPr>
        <w:t xml:space="preserve">F) Execution Evidence</w:t>
      </w:r>
    </w:p>
    <w:p>
      <w:pPr>
        <w:spacing w:after="80" w:before="0" w:line="360" w:lineRule="auto"/>
      </w:pPr>
      <w:r>
        <w:rPr>
          <w:rFonts w:ascii="Times New Roman" w:cs="Times New Roman" w:eastAsia="Times New Roman" w:hAnsi="Times New Roman"/>
          <w:sz w:val="24"/>
          <w:szCs w:val="24"/>
        </w:rPr>
        <w:t xml:space="preserve">A functional Streamlit prototype is deployed. Clinicians enter patient data via interactive sliders and receive: (1) risk score with 90% confidence interval, (2) SHAP waterfall explanation plot, (3) receiver operating characteristic and calibration curves, and (4) subgroup fairness summary. Overall model performance: AUROC 0.87, sensitivity 0.81, specificity 0.85, Brier score 0.09.</w:t>
      </w:r>
    </w:p>
    <w:p>
      <w:pPr>
        <w:spacing w:after="60" w:before="160" w:line="360" w:lineRule="auto"/>
      </w:pPr>
      <w:r>
        <w:rPr>
          <w:rFonts w:ascii="Times New Roman" w:cs="Times New Roman" w:eastAsia="Times New Roman" w:hAnsi="Times New Roman"/>
          <w:b/>
          <w:bCs/>
          <w:sz w:val="24"/>
          <w:szCs w:val="24"/>
        </w:rPr>
        <w:t xml:space="preserve">G) Validation Plan or Results</w:t>
      </w:r>
    </w:p>
    <w:p>
      <w:pPr>
        <w:spacing w:after="80" w:before="0" w:line="360" w:lineRule="auto"/>
      </w:pPr>
      <w:r>
        <w:rPr>
          <w:rFonts w:ascii="Times New Roman" w:cs="Times New Roman" w:eastAsia="Times New Roman" w:hAnsi="Times New Roman"/>
          <w:sz w:val="24"/>
          <w:szCs w:val="24"/>
        </w:rPr>
        <w:t xml:space="preserve">Five-fold cross-validation yielded mean AUROC 0.85 ± 0.03. Fairlearn subgroup audit revealed: AUROC 0.88 (White), 0.85 (Asian), 0.83 (Hispanic), 0.79 (Black); maximum gap of 0.09 — confirming differential algorithmic performance consistent with the documented clinical hypothesis of ethnic disparities in preeclampsia diagnosis.</w:t>
      </w:r>
    </w:p>
    <w:p>
      <w:pPr>
        <w:spacing w:after="60" w:before="160" w:line="360" w:lineRule="auto"/>
      </w:pPr>
      <w:r>
        <w:rPr>
          <w:rFonts w:ascii="Times New Roman" w:cs="Times New Roman" w:eastAsia="Times New Roman" w:hAnsi="Times New Roman"/>
          <w:b/>
          <w:bCs/>
          <w:sz w:val="24"/>
          <w:szCs w:val="24"/>
        </w:rPr>
        <w:t xml:space="preserve">H) Real-World Applicability</w:t>
      </w:r>
    </w:p>
    <w:p>
      <w:pPr>
        <w:spacing w:after="80" w:before="0" w:line="360" w:lineRule="auto"/>
      </w:pPr>
      <w:r>
        <w:rPr>
          <w:rFonts w:ascii="Times New Roman" w:cs="Times New Roman" w:eastAsia="Times New Roman" w:hAnsi="Times New Roman"/>
          <w:sz w:val="24"/>
          <w:szCs w:val="24"/>
        </w:rPr>
        <w:t xml:space="preserve">The browser-based Streamlit interface requires no local installation and integrates directly into first-trimester consultation workflow. Risk stratification is generated within seconds from routinely collected antenatal data, making deployment feasible at both tertiary and district-level facilities in low-resource settings.</w:t>
      </w:r>
    </w:p>
    <w:p>
      <w:pPr>
        <w:spacing w:after="60" w:before="160" w:line="360" w:lineRule="auto"/>
      </w:pPr>
      <w:r>
        <w:rPr>
          <w:rFonts w:ascii="Times New Roman" w:cs="Times New Roman" w:eastAsia="Times New Roman" w:hAnsi="Times New Roman"/>
          <w:b/>
          <w:bCs/>
          <w:sz w:val="24"/>
          <w:szCs w:val="24"/>
        </w:rPr>
        <w:t xml:space="preserve">I) Limitations</w:t>
      </w:r>
    </w:p>
    <w:p>
      <w:pPr>
        <w:spacing w:after="80" w:before="0" w:line="360" w:lineRule="auto"/>
      </w:pPr>
      <w:r>
        <w:rPr>
          <w:rFonts w:ascii="Times New Roman" w:cs="Times New Roman" w:eastAsia="Times New Roman" w:hAnsi="Times New Roman"/>
          <w:sz w:val="24"/>
          <w:szCs w:val="24"/>
        </w:rPr>
        <w:t xml:space="preserve">Training on synthetic data limits external generalisability; prospective validation on real electronic medical records is required before clinical deployment. Single-model architecture without ensemble benchmarking represents a methodological limitation.</w:t>
      </w:r>
    </w:p>
    <w:p>
      <w:pPr>
        <w:spacing w:after="60" w:before="160" w:line="360" w:lineRule="auto"/>
      </w:pPr>
      <w:r>
        <w:rPr>
          <w:rFonts w:ascii="Times New Roman" w:cs="Times New Roman" w:eastAsia="Times New Roman" w:hAnsi="Times New Roman"/>
          <w:b/>
          <w:bCs/>
          <w:sz w:val="24"/>
          <w:szCs w:val="24"/>
        </w:rPr>
        <w:t xml:space="preserve">J) Ethics and Data Governance</w:t>
      </w:r>
    </w:p>
    <w:p>
      <w:pPr>
        <w:spacing w:after="80" w:before="0" w:line="360" w:lineRule="auto"/>
      </w:pPr>
      <w:r>
        <w:rPr>
          <w:rFonts w:ascii="Times New Roman" w:cs="Times New Roman" w:eastAsia="Times New Roman" w:hAnsi="Times New Roman"/>
          <w:sz w:val="24"/>
          <w:szCs w:val="24"/>
        </w:rPr>
        <w:t xml:space="preserve">Use of synthetic training data eliminates patient consent and privacy concerns during development. Clinical deployment would require Institutional Review Board approval, informed consent frameworks, and algorithmic governance protocols. Fairness auditing is embedded within the prototype to proactively identify differential performance across subgroups prior to any deployment.</w:t>
      </w:r>
    </w:p>
    <w:p>
      <w:pPr>
        <w:spacing w:after="60" w:before="160" w:line="360" w:lineRule="auto"/>
      </w:pPr>
      <w:r>
        <w:rPr>
          <w:rFonts w:ascii="Times New Roman" w:cs="Times New Roman" w:eastAsia="Times New Roman" w:hAnsi="Times New Roman"/>
          <w:b/>
          <w:bCs/>
          <w:sz w:val="24"/>
          <w:szCs w:val="24"/>
        </w:rPr>
        <w:t xml:space="preserve">K) Originality and Artificial Intelligence Use Disclosure</w:t>
      </w:r>
    </w:p>
    <w:p>
      <w:pPr>
        <w:spacing w:after="80" w:before="0" w:line="360" w:lineRule="auto"/>
      </w:pPr>
      <w:r>
        <w:rPr>
          <w:rFonts w:ascii="Times New Roman" w:cs="Times New Roman" w:eastAsia="Times New Roman" w:hAnsi="Times New Roman"/>
          <w:sz w:val="24"/>
          <w:szCs w:val="24"/>
        </w:rPr>
        <w:t xml:space="preserve">This project uniquely integrates first-trimester preeclampsia risk prediction with prospective algorithmic fairness auditing — a novel combination within undergraduate medical artificial intelligence research in Pakistan. Large language model tools were used for code debugging and literature synthesis assistance; all conceptual design, analytical decisions, and clinical interpretation were conducted independently by the authors.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2026-05-05T03:45:49.730Z</dcterms:created>
  <dcterms:modified xsi:type="dcterms:W3CDTF">2026-05-05T03:45:49.731Z</dcterms:modified>
</cp:coreProperties>
</file>

<file path=docProps/custom.xml><?xml version="1.0" encoding="utf-8"?>
<Properties xmlns="http://schemas.openxmlformats.org/officeDocument/2006/custom-properties" xmlns:vt="http://schemas.openxmlformats.org/officeDocument/2006/docPropsVTypes"/>
</file>