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DURING the past decade a wealth of information concerning the pathogenesis of Type I</w:t>
        <w:br/>
        <w:t>diabetes has become available. Two spontaneous animal models of the disease have been</w:t>
        <w:br/>
        <w:t>discovered and characterized (the Biobreeding rat and the non-obese diabetic mouse); the</w:t>
        <w:br/>
        <w:t>importance of a gene or genes in the major histocompatibility complex in Type I diabetes of</w:t>
        <w:br/>
        <w:t>human beings, of mice, and of rats has been appreciated; and the prognostic importance of</w:t>
        <w:br/>
        <w:t>selected assays for islet-cell antibodies has been defined. T-cell abnormalities that precede</w:t>
        <w:br/>
        <w:t>diabetes have been discovered. Evidence has suggested that progressive loss of first-phase</w:t>
        <w:br/>
        <w:t>insulin secretion precedes diabetes, and immunologic . . .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