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8"/>
          <w:sz w:val="44"/>
        </w:rPr>
        <w:t>CADRU UNIFICAT DE ANALIZĂ ȘI</w:t>
        <w:br/>
        <w:t>CLASIFICARE A RISCULUI PENTRU PARIURI</w:t>
      </w:r>
    </w:p>
    <w:p>
      <w:pPr>
        <w:jc w:val="center"/>
      </w:pPr>
      <w:r>
        <w:rPr>
          <w:b/>
          <w:color w:val="666666"/>
          <w:sz w:val="23"/>
        </w:rPr>
        <w:t>Metodologie actuală consolidată pentru modelele de analiză pre-match</w:t>
      </w:r>
    </w:p>
    <w:p>
      <w:pPr>
        <w:jc w:val="center"/>
      </w:pPr>
      <w:r>
        <w:rPr>
          <w:i/>
          <w:color w:val="6B7280"/>
          <w:sz w:val="18"/>
        </w:rPr>
        <w:t>Document metodologic intern | 10 septembrie 2026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1"/>
        <w:gridCol w:w="5161"/>
      </w:tblGrid>
      <w:tr>
        <w:trPr>
          <w:tblHeader w:val="true"/>
        </w:trPr>
        <w:tc>
          <w:tcPr>
            <w:tcW w:type="dxa" w:w="208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8496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Conținut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7"/>
              </w:rPr>
              <w:t>Scop</w:t>
            </w:r>
          </w:p>
        </w:tc>
        <w:tc>
          <w:tcPr>
            <w:tcW w:type="dxa" w:w="849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7"/>
              </w:rPr>
              <w:t>Unificarea guvernanței de analiză, a datelor, a hard gate-urilor, a failure mode-urilor, a clasificării de risc, a ranking-ului și a controlului operațional pentru familiile analizate.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7"/>
              </w:rPr>
              <w:t>Familii acoperite</w:t>
            </w:r>
          </w:p>
        </w:tc>
        <w:tc>
          <w:tcPr>
            <w:tcW w:type="dxa" w:w="849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7"/>
              </w:rPr>
              <w:t>Over 0,5; Over 1,5; Under Total Goals Multi-Line; Team Total Goals; Handicap European; BTTS; Șansă Dublă; Cornere Multi-Line; Cartonașe Multi-Line.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7"/>
              </w:rPr>
              <w:t>Principiu central</w:t>
            </w:r>
          </w:p>
        </w:tc>
        <w:tc>
          <w:tcPr>
            <w:tcW w:type="dxa" w:w="849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7"/>
              </w:rPr>
              <w:t>Probabilitatea brută nu poate suprascrie un hard gate, un failure mode material, un structural floor, o stare critică de Data Readiness sau un control operațional de release.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7"/>
              </w:rPr>
              <w:t>Regulă de execuție</w:t>
            </w:r>
          </w:p>
        </w:tc>
        <w:tc>
          <w:tcPr>
            <w:tcW w:type="dxa" w:w="849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7"/>
              </w:rPr>
              <w:t>Analiza folosește numai regulile deja definite în modelul activ. În rularea unui meci nu se introduc praguri, excepții sau reguli noi pentru a obține un verdict.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22"/>
      </w:tblGrid>
      <w:tr>
        <w:tc>
          <w:tcPr>
            <w:tcW w:type="dxa" w:w="1032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8"/>
              </w:rPr>
              <w:t xml:space="preserve">Principiul de guvernanță - </w:t>
            </w:r>
            <w:r>
              <w:rPr>
                <w:sz w:val="18"/>
              </w:rPr>
              <w:t>forecastul probabilistic, clasificarea riscului și controlul operațional de sourcing sunt straturi distincte. O problemă de sourcing nu se transformă artificial într-o probabilitate, iar o probabilitate mare nu anulează un hard gate.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Cuprins</w:t>
      </w:r>
    </w:p>
    <w:p>
      <w:pPr>
        <w:pStyle w:val="ListBullet"/>
      </w:pPr>
      <w:r>
        <w:t>1. Concluzie executivă</w:t>
      </w:r>
    </w:p>
    <w:p>
      <w:pPr>
        <w:pStyle w:val="ListBullet"/>
      </w:pPr>
      <w:r>
        <w:t>2. Arhitectura comună G0-G4</w:t>
      </w:r>
    </w:p>
    <w:p>
      <w:pPr>
        <w:pStyle w:val="ListBullet"/>
      </w:pPr>
      <w:r>
        <w:t>3. Data Readiness și controlul de sourcing</w:t>
      </w:r>
    </w:p>
    <w:p>
      <w:pPr>
        <w:pStyle w:val="ListBullet"/>
      </w:pPr>
      <w:r>
        <w:t>4. Risk Score și clasificarea 1-5</w:t>
      </w:r>
    </w:p>
    <w:p>
      <w:pPr>
        <w:pStyle w:val="ListBullet"/>
      </w:pPr>
      <w:r>
        <w:t>5. Matrice comparativă a familiilor de piață</w:t>
      </w:r>
    </w:p>
    <w:p>
      <w:pPr>
        <w:pStyle w:val="ListBullet"/>
      </w:pPr>
      <w:r>
        <w:t>6. Over 0,5 goluri</w:t>
      </w:r>
    </w:p>
    <w:p>
      <w:pPr>
        <w:pStyle w:val="ListBullet"/>
      </w:pPr>
      <w:r>
        <w:t>7. Over 1,5 goluri</w:t>
      </w:r>
    </w:p>
    <w:p>
      <w:pPr>
        <w:pStyle w:val="ListBullet"/>
      </w:pPr>
      <w:r>
        <w:t>8. Under Total Goals Multi-Line</w:t>
      </w:r>
    </w:p>
    <w:p>
      <w:pPr>
        <w:pStyle w:val="ListBullet"/>
      </w:pPr>
      <w:r>
        <w:t>9. Team Total Goals</w:t>
      </w:r>
    </w:p>
    <w:p>
      <w:pPr>
        <w:pStyle w:val="ListBullet"/>
      </w:pPr>
      <w:r>
        <w:t>10. Handicap European</w:t>
      </w:r>
    </w:p>
    <w:p>
      <w:pPr>
        <w:pStyle w:val="ListBullet"/>
      </w:pPr>
      <w:r>
        <w:t>11. BTTS</w:t>
      </w:r>
    </w:p>
    <w:p>
      <w:pPr>
        <w:pStyle w:val="ListBullet"/>
      </w:pPr>
      <w:r>
        <w:t>12. Șansă Dublă</w:t>
      </w:r>
    </w:p>
    <w:p>
      <w:pPr>
        <w:pStyle w:val="ListBullet"/>
      </w:pPr>
      <w:r>
        <w:t>13. Cornere Multi-Line</w:t>
      </w:r>
    </w:p>
    <w:p>
      <w:pPr>
        <w:pStyle w:val="ListBullet"/>
      </w:pPr>
      <w:r>
        <w:t>14. Cartonașe Multi-Line</w:t>
      </w:r>
    </w:p>
    <w:p>
      <w:pPr>
        <w:pStyle w:val="ListBullet"/>
      </w:pPr>
      <w:r>
        <w:t>15. Reguli operaționale pentru analiză, topuri și raportare</w:t>
      </w:r>
    </w:p>
    <w:p>
      <w:pPr>
        <w:pStyle w:val="ListBullet"/>
      </w:pPr>
      <w:r>
        <w:t>16. Backtest și calibrare</w:t>
      </w:r>
    </w:p>
    <w:p>
      <w:pPr>
        <w:pStyle w:val="Heading1"/>
        <w:keepNext/>
      </w:pPr>
      <w:r>
        <w:t>1. Concluzie executivă</w:t>
      </w:r>
    </w:p>
    <w:p>
      <w:pPr>
        <w:spacing w:after="80" w:line="247" w:lineRule="auto"/>
      </w:pPr>
      <w:r>
        <w:rPr>
          <w:i w:val="0"/>
        </w:rPr>
        <w:t>Cadrul comun tratează fiecare familie ca un model probabilistic cu failure mode propriu, nu ca o simplă selecție bazată pe o probabilitate agregată. Ordinea de decizie este: validitatea datelor și hard gate-urile, riscul structural și tail-ul relevant, probabilitatea ajustată, confidence și abia apoi ranking-ul selecțiilor eligibile.</w:t>
      </w:r>
    </w:p>
    <w:p>
      <w:pPr>
        <w:pStyle w:val="ListBullet"/>
        <w:spacing w:after="40" w:line="240" w:lineRule="auto"/>
      </w:pPr>
      <w:r>
        <w:t>Over 0,5 este guvernat de zero-mass: riscul dominant este 0-0. SMALL SAMPLE poate fi tratat prin prior și shrinkage fără downgrade automat.</w:t>
      </w:r>
    </w:p>
    <w:p>
      <w:pPr>
        <w:pStyle w:val="ListBullet"/>
        <w:spacing w:after="40" w:line="240" w:lineRule="auto"/>
      </w:pPr>
      <w:r>
        <w:t>Over 1,5 separă explicit masa la zero de masa la exact un gol. Riscul de al doilea gol este hard control și are prioritate față de probabilitatea agregată.</w:t>
      </w:r>
    </w:p>
    <w:p>
      <w:pPr>
        <w:pStyle w:val="ListBullet"/>
        <w:spacing w:after="40" w:line="240" w:lineRule="auto"/>
      </w:pPr>
      <w:r>
        <w:t>Under Total Goals folosește o singură distribuție a totalului, dar fiecare linie are failure, near-tail, severe-tail, calibrare și floor proprii.</w:t>
      </w:r>
    </w:p>
    <w:p>
      <w:pPr>
        <w:pStyle w:val="ListBullet"/>
        <w:spacing w:after="40" w:line="240" w:lineRule="auto"/>
      </w:pPr>
      <w:r>
        <w:t>Team Total Goals modelează distribuția marginală pe echipă și aplică market-role audit, second-goal logic pentru over-uri și upper-tail controls pentru under-uri.</w:t>
      </w:r>
    </w:p>
    <w:p>
      <w:pPr>
        <w:pStyle w:val="ListBullet"/>
        <w:spacing w:after="40" w:line="240" w:lineRule="auto"/>
      </w:pPr>
      <w:r>
        <w:t>Handicapul European este o piață 3-way; exact-margin și concentration sunt controale structurale și pot impune floor sau hard fail.</w:t>
      </w:r>
    </w:p>
    <w:p>
      <w:pPr>
        <w:pStyle w:val="ListBullet"/>
        <w:spacing w:after="40" w:line="240" w:lineRule="auto"/>
      </w:pPr>
      <w:r>
        <w:t>BTTS este bilateral: weakest-team scoring și clean-sheet risk nu pot fi compensate de un lambda total mare.</w:t>
      </w:r>
    </w:p>
    <w:p>
      <w:pPr>
        <w:pStyle w:val="ListBullet"/>
        <w:spacing w:after="40" w:line="240" w:lineRule="auto"/>
      </w:pPr>
      <w:r>
        <w:t>Șansa Dublă folosește obligatoriu auditul 1X2 de-vig; home advantage nu poate suprascrie direcția clară a pieței.</w:t>
      </w:r>
    </w:p>
    <w:p>
      <w:pPr>
        <w:pStyle w:val="ListBullet"/>
        <w:spacing w:after="40" w:line="240" w:lineRule="auto"/>
      </w:pPr>
      <w:r>
        <w:t>Cornerele folosesc un motor comun al totalului; over-urile controlează low-tail, under-urile upper-tail. Inputurile native și dispersia sunt tratate separat de factori soft.</w:t>
      </w:r>
    </w:p>
    <w:p>
      <w:pPr>
        <w:pStyle w:val="ListBullet"/>
        <w:spacing w:after="40" w:line="240" w:lineRule="auto"/>
      </w:pPr>
      <w:r>
        <w:t>Cartonașele folosesc un motor adaptiv al totalului, cu arbitru, disciplină H/A, faulturi, context și red-tail. Toate liniile au structural floor moderat, iar sourcing-ul arbitrului și al datelor disciplinare este verificat separat.</w:t>
      </w:r>
    </w:p>
    <w:p>
      <w:pPr>
        <w:pStyle w:val="Heading1"/>
        <w:keepNext/>
      </w:pPr>
      <w:r>
        <w:t>2. Arhitectura comună G0-G4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86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244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Rol metodologic</w:t>
            </w:r>
          </w:p>
        </w:tc>
        <w:tc>
          <w:tcPr>
            <w:tcW w:type="dxa" w:w="4896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Exemple</w:t>
            </w:r>
          </w:p>
        </w:tc>
        <w:tc>
          <w:tcPr>
            <w:tcW w:type="dxa" w:w="244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Efect</w:t>
            </w:r>
          </w:p>
        </w:tc>
      </w:tr>
      <w:tr>
        <w:tc>
          <w:tcPr>
            <w:tcW w:type="dxa" w:w="86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G0</w:t>
            </w:r>
          </w:p>
        </w:tc>
        <w:tc>
          <w:tcPr>
            <w:tcW w:type="dxa" w:w="244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Hard gate / input obligatoriu</w:t>
            </w:r>
          </w:p>
        </w:tc>
        <w:tc>
          <w:tcPr>
            <w:tcW w:type="dxa" w:w="489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zero-mass; second-goal; exact-margin; weakest-team; market-direction; inputuri native cornere; normalizare și arbitru la cartonașe</w:t>
            </w:r>
          </w:p>
        </w:tc>
        <w:tc>
          <w:tcPr>
            <w:tcW w:type="dxa" w:w="244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FAIL poate forța WATCH / NO BET / NO RANK</w:t>
            </w:r>
          </w:p>
        </w:tc>
      </w:tr>
      <w:tr>
        <w:tc>
          <w:tcPr>
            <w:tcW w:type="dxa" w:w="86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G1</w:t>
            </w:r>
          </w:p>
        </w:tc>
        <w:tc>
          <w:tcPr>
            <w:tcW w:type="dxa" w:w="244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Context și factori soft</w:t>
            </w:r>
          </w:p>
        </w:tc>
        <w:tc>
          <w:tcPr>
            <w:tcW w:type="dxa" w:w="489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lineup, absențe, matchup, game-state, posesie, tactică, field tilt, miză</w:t>
            </w:r>
          </w:p>
        </w:tc>
        <w:tc>
          <w:tcPr>
            <w:tcW w:type="dxa" w:w="244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haircut, risk surcharge, confidence cap sau refresh</w:t>
            </w:r>
          </w:p>
        </w:tc>
      </w:tr>
      <w:tr>
        <w:tc>
          <w:tcPr>
            <w:tcW w:type="dxa" w:w="86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G2</w:t>
            </w:r>
          </w:p>
        </w:tc>
        <w:tc>
          <w:tcPr>
            <w:tcW w:type="dxa" w:w="244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Calibrare, tail și incertitudine</w:t>
            </w:r>
          </w:p>
        </w:tc>
        <w:tc>
          <w:tcPr>
            <w:tcW w:type="dxa" w:w="489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pG1, near-tail, severe-tail, dispersion, red-tail, prior/shrinkage</w:t>
            </w:r>
          </w:p>
        </w:tc>
        <w:tc>
          <w:tcPr>
            <w:tcW w:type="dxa" w:w="244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ajustează riscul și calibrarea; nu se confundă cu lipsa inputului</w:t>
            </w:r>
          </w:p>
        </w:tc>
      </w:tr>
      <w:tr>
        <w:tc>
          <w:tcPr>
            <w:tcW w:type="dxa" w:w="86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G3</w:t>
            </w:r>
          </w:p>
        </w:tc>
        <w:tc>
          <w:tcPr>
            <w:tcW w:type="dxa" w:w="244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Preț sau probabilitate de piață, unde modelul o cere</w:t>
            </w:r>
          </w:p>
        </w:tc>
        <w:tc>
          <w:tcPr>
            <w:tcW w:type="dxa" w:w="489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de-vig 1X2 la Șansă Dublă; market-role audit la Team Total; cote informative în alte modele</w:t>
            </w:r>
          </w:p>
        </w:tc>
        <w:tc>
          <w:tcPr>
            <w:tcW w:type="dxa" w:w="244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nu intră în Risk Score prin EV; poate fi hard input numai dacă metodologia cere direcția pieței</w:t>
            </w:r>
          </w:p>
        </w:tc>
      </w:tr>
      <w:tr>
        <w:tc>
          <w:tcPr>
            <w:tcW w:type="dxa" w:w="86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G4</w:t>
            </w:r>
          </w:p>
        </w:tc>
        <w:tc>
          <w:tcPr>
            <w:tcW w:type="dxa" w:w="244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Selector și verdict final</w:t>
            </w:r>
          </w:p>
        </w:tc>
        <w:tc>
          <w:tcPr>
            <w:tcW w:type="dxa" w:w="489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eligibility, structural floor, ranking, topuri</w:t>
            </w:r>
          </w:p>
        </w:tc>
        <w:tc>
          <w:tcPr>
            <w:tcW w:type="dxa" w:w="244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aplică toate limitele fără a crea reguli noi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22"/>
      </w:tblGrid>
      <w:tr>
        <w:tc>
          <w:tcPr>
            <w:tcW w:type="dxa" w:w="1032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8"/>
              </w:rPr>
              <w:t xml:space="preserve">Nomenclatură - </w:t>
            </w:r>
            <w:r>
              <w:rPr>
                <w:sz w:val="18"/>
              </w:rPr>
              <w:t>G0/G1/G2/G3/G4 sunt niveluri metodologice. pG0, pG1, pG5, pG6+ sunt mase de probabilitate pentru exact 0, exact 1, exact 5, minimum 6 etc. Cele două sisteme de denumire nu se substituie.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 Ordinea obligatorie de decizie</w:t>
      </w:r>
    </w:p>
    <w:p>
      <w:pPr>
        <w:pStyle w:val="ListNumber"/>
        <w:spacing w:after="40" w:line="240" w:lineRule="auto"/>
      </w:pPr>
      <w:r>
        <w:t>Închide Data Readiness pentru inputurile relevante și identifică orice G0 critic.</w:t>
      </w:r>
    </w:p>
    <w:p>
      <w:pPr>
        <w:pStyle w:val="ListNumber"/>
        <w:spacing w:after="40" w:line="240" w:lineRule="auto"/>
      </w:pPr>
      <w:r>
        <w:t>Calculează distribuția și failure mode-ul specific pieței sau liniei.</w:t>
      </w:r>
    </w:p>
    <w:p>
      <w:pPr>
        <w:pStyle w:val="ListNumber"/>
        <w:spacing w:after="40" w:line="240" w:lineRule="auto"/>
      </w:pPr>
      <w:r>
        <w:t>Aplică hard gates, structural floor, tail gates și surcharges definite de model.</w:t>
      </w:r>
    </w:p>
    <w:p>
      <w:pPr>
        <w:pStyle w:val="ListNumber"/>
        <w:spacing w:after="40" w:line="240" w:lineRule="auto"/>
      </w:pPr>
      <w:r>
        <w:t>Determină Risk Score / Risk Level și probabilitatea ajustată.</w:t>
      </w:r>
    </w:p>
    <w:p>
      <w:pPr>
        <w:pStyle w:val="ListNumber"/>
        <w:spacing w:after="40" w:line="240" w:lineRule="auto"/>
      </w:pPr>
      <w:r>
        <w:t>Aplică Confidence și statutul operațional de release.</w:t>
      </w:r>
    </w:p>
    <w:p>
      <w:pPr>
        <w:pStyle w:val="ListNumber"/>
        <w:spacing w:after="40" w:line="240" w:lineRule="auto"/>
      </w:pPr>
      <w:r>
        <w:t>Ordonează numai selecțiile rămase eligibile.</w:t>
      </w:r>
    </w:p>
    <w:p>
      <w:pPr>
        <w:pStyle w:val="Heading1"/>
        <w:keepNext/>
      </w:pPr>
      <w:r>
        <w:t>3. Data Readiness și controlul de sourcing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208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672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Ce înseamnă</w:t>
            </w:r>
          </w:p>
        </w:tc>
        <w:tc>
          <w:tcPr>
            <w:tcW w:type="dxa" w:w="194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Este lipsă de date?</w:t>
            </w:r>
          </w:p>
        </w:tc>
        <w:tc>
          <w:tcPr>
            <w:tcW w:type="dxa" w:w="302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Tratament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5"/>
              </w:rPr>
              <w:t>VERIFIED</w:t>
            </w:r>
          </w:p>
        </w:tc>
        <w:tc>
          <w:tcPr>
            <w:tcW w:type="dxa" w:w="367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5"/>
              </w:rPr>
              <w:t>date găsite și verificate</w:t>
            </w:r>
          </w:p>
        </w:tc>
        <w:tc>
          <w:tcPr>
            <w:tcW w:type="dxa" w:w="194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5"/>
              </w:rPr>
              <w:t>NU</w:t>
            </w:r>
          </w:p>
        </w:tc>
        <w:tc>
          <w:tcPr>
            <w:tcW w:type="dxa" w:w="302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5"/>
              </w:rPr>
              <w:t>folosire integrală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5"/>
              </w:rPr>
              <w:t>DERIVED</w:t>
            </w:r>
          </w:p>
        </w:tc>
        <w:tc>
          <w:tcPr>
            <w:tcW w:type="dxa" w:w="367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5"/>
              </w:rPr>
              <w:t>valoare reconstruită din date native cu metodă și trasabilitate</w:t>
            </w:r>
          </w:p>
        </w:tc>
        <w:tc>
          <w:tcPr>
            <w:tcW w:type="dxa" w:w="194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5"/>
              </w:rPr>
              <w:t>NU, dacă derivarea este permisă</w:t>
            </w:r>
          </w:p>
        </w:tc>
        <w:tc>
          <w:tcPr>
            <w:tcW w:type="dxa" w:w="302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5"/>
              </w:rPr>
              <w:t>documentează N, sursa, metoda/formula și cutoff-ul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5"/>
              </w:rPr>
              <w:t>AVAILABLE - NOT CHECKED</w:t>
            </w:r>
          </w:p>
        </w:tc>
        <w:tc>
          <w:tcPr>
            <w:tcW w:type="dxa" w:w="367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5"/>
              </w:rPr>
              <w:t>date probabil disponibile, încă neverificate</w:t>
            </w:r>
          </w:p>
        </w:tc>
        <w:tc>
          <w:tcPr>
            <w:tcW w:type="dxa" w:w="194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5"/>
              </w:rPr>
              <w:t>NU</w:t>
            </w:r>
          </w:p>
        </w:tc>
        <w:tc>
          <w:tcPr>
            <w:tcW w:type="dxa" w:w="302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5"/>
              </w:rPr>
              <w:t>continuă căutarea; în modelele cu Completion Check poate bloca release-ul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5"/>
              </w:rPr>
              <w:t>PENDING OFFICIAL</w:t>
            </w:r>
          </w:p>
        </w:tc>
        <w:tc>
          <w:tcPr>
            <w:tcW w:type="dxa" w:w="367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5"/>
              </w:rPr>
              <w:t>date oficiale încă nepublicate</w:t>
            </w:r>
          </w:p>
        </w:tc>
        <w:tc>
          <w:tcPr>
            <w:tcW w:type="dxa" w:w="194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5"/>
              </w:rPr>
              <w:t>NU</w:t>
            </w:r>
          </w:p>
        </w:tc>
        <w:tc>
          <w:tcPr>
            <w:tcW w:type="dxa" w:w="302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5"/>
              </w:rPr>
              <w:t>refresh la momentul relevant; hard numai dacă inputul este critic pentru banda analizată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5"/>
              </w:rPr>
              <w:t>SMALL SAMPLE</w:t>
            </w:r>
          </w:p>
        </w:tc>
        <w:tc>
          <w:tcPr>
            <w:tcW w:type="dxa" w:w="367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5"/>
              </w:rPr>
              <w:t>date există, dar N curent este mic</w:t>
            </w:r>
          </w:p>
        </w:tc>
        <w:tc>
          <w:tcPr>
            <w:tcW w:type="dxa" w:w="194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5"/>
              </w:rPr>
              <w:t>NU</w:t>
            </w:r>
          </w:p>
        </w:tc>
        <w:tc>
          <w:tcPr>
            <w:tcW w:type="dxa" w:w="302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5"/>
              </w:rPr>
              <w:t>prior + shrinkage + confidence cap; nu produce downgrade automat prin simpla etichetă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5"/>
              </w:rPr>
              <w:t>PRIOR / SHRINKAGE</w:t>
            </w:r>
          </w:p>
        </w:tc>
        <w:tc>
          <w:tcPr>
            <w:tcW w:type="dxa" w:w="367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5"/>
              </w:rPr>
              <w:t>se folosește informație istorică sau prior de ligă</w:t>
            </w:r>
          </w:p>
        </w:tc>
        <w:tc>
          <w:tcPr>
            <w:tcW w:type="dxa" w:w="194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5"/>
              </w:rPr>
              <w:t>NU</w:t>
            </w:r>
          </w:p>
        </w:tc>
        <w:tc>
          <w:tcPr>
            <w:tcW w:type="dxa" w:w="302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5"/>
              </w:rPr>
              <w:t>blend controlat și raportarea N/priorului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5"/>
              </w:rPr>
              <w:t>PROXY ONLY</w:t>
            </w:r>
          </w:p>
        </w:tc>
        <w:tc>
          <w:tcPr>
            <w:tcW w:type="dxa" w:w="367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5"/>
              </w:rPr>
              <w:t>indicatorul nativ lipsește, dar există proxy</w:t>
            </w:r>
          </w:p>
        </w:tc>
        <w:tc>
          <w:tcPr>
            <w:tcW w:type="dxa" w:w="194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5"/>
              </w:rPr>
              <w:t>NU automat</w:t>
            </w:r>
          </w:p>
        </w:tc>
        <w:tc>
          <w:tcPr>
            <w:tcW w:type="dxa" w:w="302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5"/>
              </w:rPr>
              <w:t>haircut/cap; devine hard numai dacă G0 cere explicit input nativ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5"/>
              </w:rPr>
              <w:t>SOURCE CONFLICT</w:t>
            </w:r>
          </w:p>
        </w:tc>
        <w:tc>
          <w:tcPr>
            <w:tcW w:type="dxa" w:w="367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5"/>
              </w:rPr>
              <w:t>surse material incompatibile</w:t>
            </w:r>
          </w:p>
        </w:tc>
        <w:tc>
          <w:tcPr>
            <w:tcW w:type="dxa" w:w="194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5"/>
              </w:rPr>
              <w:t>DA dacă nu pot fi reconciliate</w:t>
            </w:r>
          </w:p>
        </w:tc>
        <w:tc>
          <w:tcPr>
            <w:tcW w:type="dxa" w:w="302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5"/>
              </w:rPr>
              <w:t>reconciliere înainte de verdict dacă afectează G0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5"/>
              </w:rPr>
              <w:t>NOT AVAILABLE</w:t>
            </w:r>
          </w:p>
        </w:tc>
        <w:tc>
          <w:tcPr>
            <w:tcW w:type="dxa" w:w="367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5"/>
              </w:rPr>
              <w:t>căutarea rezonabilă a fost efectuată și inputul nu a fost găsit</w:t>
            </w:r>
          </w:p>
        </w:tc>
        <w:tc>
          <w:tcPr>
            <w:tcW w:type="dxa" w:w="194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5"/>
              </w:rPr>
              <w:t>DA</w:t>
            </w:r>
          </w:p>
        </w:tc>
        <w:tc>
          <w:tcPr>
            <w:tcW w:type="dxa" w:w="302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5"/>
              </w:rPr>
              <w:t>hard fail numai când inputul este critic pentru motor/failure distribution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22"/>
      </w:tblGrid>
      <w:tr>
        <w:tc>
          <w:tcPr>
            <w:tcW w:type="dxa" w:w="1032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8"/>
              </w:rPr>
              <w:t xml:space="preserve">Regula LIPSA DATE - </w:t>
            </w:r>
            <w:r>
              <w:rPr>
                <w:sz w:val="18"/>
              </w:rPr>
              <w:t>eticheta se folosește numai după o căutare rezonabilă. SMALL SAMPLE, PENDING OFFICIAL și AVAILABLE - NOT CHECKED nu sunt, prin ele însele, lipsă de date.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Separarea sourcing-ului de verdict</w:t>
      </w:r>
    </w:p>
    <w:p>
      <w:pPr>
        <w:spacing w:after="80" w:line="247" w:lineRule="auto"/>
      </w:pPr>
      <w:r>
        <w:rPr>
          <w:i w:val="0"/>
        </w:rPr>
        <w:t>Cornerele și cartonașele au control operațional explicit per input. Auditul păstrează valoarea, N, sursa, URL-ul, metoda de extracție, formula sau lista de meciuri, cutoff-ul și Data Status. Coada de sourcing trebuie închisă înainte de rularea motorului. Acest control nu modifică formulele probabilistice, Risk Level-ul sau verdictul; el decide numai dacă setul de inputuri este suficient de închis pentru execuție.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1"/>
        <w:gridCol w:w="3441"/>
        <w:gridCol w:w="3441"/>
      </w:tblGrid>
      <w:tr>
        <w:trPr>
          <w:tblHeader w:val="true"/>
        </w:trPr>
        <w:tc>
          <w:tcPr>
            <w:tcW w:type="dxa" w:w="324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Control operațional</w:t>
            </w:r>
          </w:p>
        </w:tc>
        <w:tc>
          <w:tcPr>
            <w:tcW w:type="dxa" w:w="468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Semnificație</w:t>
            </w:r>
          </w:p>
        </w:tc>
        <w:tc>
          <w:tcPr>
            <w:tcW w:type="dxa" w:w="2952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Regulă</w:t>
            </w:r>
          </w:p>
        </w:tc>
      </w:tr>
      <w:tr>
        <w:tc>
          <w:tcPr>
            <w:tcW w:type="dxa" w:w="324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SOURCING INCOMPLETE - RESUME REQUIRED</w:t>
            </w:r>
          </w:p>
        </w:tc>
        <w:tc>
          <w:tcPr>
            <w:tcW w:type="dxa" w:w="468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există inputuri blank sau AVAILABLE - NOT CHECKED</w:t>
            </w:r>
          </w:p>
        </w:tc>
        <w:tc>
          <w:tcPr>
            <w:tcW w:type="dxa" w:w="295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continuă sourcing-ul; nu executa motorul</w:t>
            </w:r>
          </w:p>
        </w:tc>
      </w:tr>
      <w:tr>
        <w:tc>
          <w:tcPr>
            <w:tcW w:type="dxa" w:w="324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METHOD CLOSURE REQUIRED</w:t>
            </w:r>
          </w:p>
        </w:tc>
        <w:tc>
          <w:tcPr>
            <w:tcW w:type="dxa" w:w="468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inputul nu poate fi închis prin căutare simplă</w:t>
            </w:r>
          </w:p>
        </w:tc>
        <w:tc>
          <w:tcPr>
            <w:tcW w:type="dxa" w:w="295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aplică regulile Data Readiness / Matrice, fără presupuneri</w:t>
            </w:r>
          </w:p>
        </w:tc>
      </w:tr>
      <w:tr>
        <w:tc>
          <w:tcPr>
            <w:tcW w:type="dxa" w:w="324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MODEL RELEASE - NOT RELEASED</w:t>
            </w:r>
          </w:p>
        </w:tc>
        <w:tc>
          <w:tcPr>
            <w:tcW w:type="dxa" w:w="468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Completion Check nu este închis</w:t>
            </w:r>
          </w:p>
        </w:tc>
        <w:tc>
          <w:tcPr>
            <w:tcW w:type="dxa" w:w="295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blochează execuția, fără a transforma starea într-un nou hard gate probabilistic</w:t>
            </w:r>
          </w:p>
        </w:tc>
      </w:tr>
      <w:tr>
        <w:tc>
          <w:tcPr>
            <w:tcW w:type="dxa" w:w="324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READY</w:t>
            </w:r>
          </w:p>
        </w:tc>
        <w:tc>
          <w:tcPr>
            <w:tcW w:type="dxa" w:w="468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toate inputurile au status terminal și cerințele de trasabilitate sunt îndeplinite</w:t>
            </w:r>
          </w:p>
        </w:tc>
        <w:tc>
          <w:tcPr>
            <w:tcW w:type="dxa" w:w="295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motorul poate fi rulat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Risk Score și clasificarea 1-5</w:t>
      </w:r>
    </w:p>
    <w:p>
      <w:pPr>
        <w:spacing w:after="80" w:line="247" w:lineRule="auto"/>
      </w:pPr>
      <w:r>
        <w:rPr>
          <w:i w:val="0"/>
        </w:rPr>
        <w:t>Dimensiunile de risc sunt comune ca logică, dar ponderile interne pot fi diferite între familii. Nu se rescriu ponderile unui model doar pentru uniformitate documentară. Structural floor are prioritate: o piață cu floor 3 nu poate deveni DEFENSIV sau PRUDENT chiar dacă scorul brut ar fi mai mic.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1"/>
        <w:gridCol w:w="3441"/>
        <w:gridCol w:w="3441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Dimensiune</w:t>
            </w:r>
          </w:p>
        </w:tc>
        <w:tc>
          <w:tcPr>
            <w:tcW w:type="dxa" w:w="446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Ce măsoară</w:t>
            </w:r>
          </w:p>
        </w:tc>
        <w:tc>
          <w:tcPr>
            <w:tcW w:type="dxa" w:w="352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Exemple de trigger</w:t>
            </w:r>
          </w:p>
        </w:tc>
      </w:tr>
      <w:tr>
        <w:tc>
          <w:tcPr>
            <w:tcW w:type="dxa" w:w="288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Data Quality Risk</w:t>
            </w:r>
          </w:p>
        </w:tc>
        <w:tc>
          <w:tcPr>
            <w:tcW w:type="dxa" w:w="446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readiness, consistență, actualitate și trasabilitate</w:t>
            </w:r>
          </w:p>
        </w:tc>
        <w:tc>
          <w:tcPr>
            <w:tcW w:type="dxa" w:w="352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NOT AVAILABLE critic, SOURCE CONFLICT, proxy slab</w:t>
            </w:r>
          </w:p>
        </w:tc>
      </w:tr>
      <w:tr>
        <w:tc>
          <w:tcPr>
            <w:tcW w:type="dxa" w:w="288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Distribution / Tail Risk</w:t>
            </w:r>
          </w:p>
        </w:tc>
        <w:tc>
          <w:tcPr>
            <w:tcW w:type="dxa" w:w="446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masa de failure relevantă liniei</w:t>
            </w:r>
          </w:p>
        </w:tc>
        <w:tc>
          <w:tcPr>
            <w:tcW w:type="dxa" w:w="352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0-0, exact 1, 4+/5+/6+, low-tail corners/cards, red-tail, exact-margin</w:t>
            </w:r>
          </w:p>
        </w:tc>
      </w:tr>
      <w:tr>
        <w:tc>
          <w:tcPr>
            <w:tcW w:type="dxa" w:w="288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Market Structure Risk</w:t>
            </w:r>
          </w:p>
        </w:tc>
        <w:tc>
          <w:tcPr>
            <w:tcW w:type="dxa" w:w="446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fragilitatea structurală a pieței</w:t>
            </w:r>
          </w:p>
        </w:tc>
        <w:tc>
          <w:tcPr>
            <w:tcW w:type="dxa" w:w="352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bilateralitate BTTS, 3-way handicap, compunere, line-specific fragility</w:t>
            </w:r>
          </w:p>
        </w:tc>
      </w:tr>
      <w:tr>
        <w:tc>
          <w:tcPr>
            <w:tcW w:type="dxa" w:w="288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Context / Game-State Risk</w:t>
            </w:r>
          </w:p>
        </w:tc>
        <w:tc>
          <w:tcPr>
            <w:tcW w:type="dxa" w:w="446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sensibilitatea la matchup și scenariul meciului</w:t>
            </w:r>
          </w:p>
        </w:tc>
        <w:tc>
          <w:tcPr>
            <w:tcW w:type="dxa" w:w="352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derby, chasing, favorit dominant, tranziții, lineup</w:t>
            </w:r>
          </w:p>
        </w:tc>
      </w:tr>
      <w:tr>
        <w:tc>
          <w:tcPr>
            <w:tcW w:type="dxa" w:w="288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Model Uncertainty</w:t>
            </w:r>
          </w:p>
        </w:tc>
        <w:tc>
          <w:tcPr>
            <w:tcW w:type="dxa" w:w="446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sample, prior, calibrare, fit și stabilitatea parametrilor</w:t>
            </w:r>
          </w:p>
        </w:tc>
        <w:tc>
          <w:tcPr>
            <w:tcW w:type="dxa" w:w="352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early-season, N mic, dispersie instabilă, praguri OOS pending</w:t>
            </w:r>
          </w:p>
        </w:tc>
      </w:tr>
      <w:tr>
        <w:tc>
          <w:tcPr>
            <w:tcW w:type="dxa" w:w="288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Correlation / Compound Risk</w:t>
            </w:r>
          </w:p>
        </w:tc>
        <w:tc>
          <w:tcPr>
            <w:tcW w:type="dxa" w:w="446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dependențe între componente</w:t>
            </w:r>
          </w:p>
        </w:tc>
        <w:tc>
          <w:tcPr>
            <w:tcW w:type="dxa" w:w="352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aceeași cauză de failure afectează mai multe inputuri sau selecții</w:t>
            </w:r>
          </w:p>
        </w:tc>
      </w:tr>
      <w:tr>
        <w:tc>
          <w:tcPr>
            <w:tcW w:type="dxa" w:w="288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Market / Price Risk</w:t>
            </w:r>
          </w:p>
        </w:tc>
        <w:tc>
          <w:tcPr>
            <w:tcW w:type="dxa" w:w="446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prețul ca informație auxiliară</w:t>
            </w:r>
          </w:p>
        </w:tc>
        <w:tc>
          <w:tcPr>
            <w:tcW w:type="dxa" w:w="352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pondere zero în verdictul tehnic; EV nu clasifică riscul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2016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Risk Score</w:t>
            </w:r>
          </w:p>
        </w:tc>
        <w:tc>
          <w:tcPr>
            <w:tcW w:type="dxa" w:w="100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244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Etichetă</w:t>
            </w:r>
          </w:p>
        </w:tc>
        <w:tc>
          <w:tcPr>
            <w:tcW w:type="dxa" w:w="5616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Regulă de portofoliu</w:t>
            </w:r>
          </w:p>
        </w:tc>
      </w:tr>
      <w:tr>
        <w:tc>
          <w:tcPr>
            <w:tcW w:type="dxa" w:w="201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0-20</w:t>
            </w:r>
          </w:p>
        </w:tc>
        <w:tc>
          <w:tcPr>
            <w:tcW w:type="dxa" w:w="100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1</w:t>
            </w:r>
          </w:p>
        </w:tc>
        <w:tc>
          <w:tcPr>
            <w:tcW w:type="dxa" w:w="244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DEFENSIV</w:t>
            </w:r>
          </w:p>
        </w:tc>
        <w:tc>
          <w:tcPr>
            <w:tcW w:type="dxa" w:w="561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eligibil prioritar dacă G0 PASS și floor-ul structural permite</w:t>
            </w:r>
          </w:p>
        </w:tc>
      </w:tr>
      <w:tr>
        <w:tc>
          <w:tcPr>
            <w:tcW w:type="dxa" w:w="201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21-40</w:t>
            </w:r>
          </w:p>
        </w:tc>
        <w:tc>
          <w:tcPr>
            <w:tcW w:type="dxa" w:w="100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2</w:t>
            </w:r>
          </w:p>
        </w:tc>
        <w:tc>
          <w:tcPr>
            <w:tcW w:type="dxa" w:w="244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PRUDENT</w:t>
            </w:r>
          </w:p>
        </w:tc>
        <w:tc>
          <w:tcPr>
            <w:tcW w:type="dxa" w:w="561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eligibil selectiv</w:t>
            </w:r>
          </w:p>
        </w:tc>
      </w:tr>
      <w:tr>
        <w:tc>
          <w:tcPr>
            <w:tcW w:type="dxa" w:w="201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41-60</w:t>
            </w:r>
          </w:p>
        </w:tc>
        <w:tc>
          <w:tcPr>
            <w:tcW w:type="dxa" w:w="100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3</w:t>
            </w:r>
          </w:p>
        </w:tc>
        <w:tc>
          <w:tcPr>
            <w:tcW w:type="dxa" w:w="244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MODERAT</w:t>
            </w:r>
          </w:p>
        </w:tc>
        <w:tc>
          <w:tcPr>
            <w:tcW w:type="dxa" w:w="561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selectiv; separat de nucleul defensiv</w:t>
            </w:r>
          </w:p>
        </w:tc>
      </w:tr>
      <w:tr>
        <w:tc>
          <w:tcPr>
            <w:tcW w:type="dxa" w:w="201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61-80</w:t>
            </w:r>
          </w:p>
        </w:tc>
        <w:tc>
          <w:tcPr>
            <w:tcW w:type="dxa" w:w="100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4</w:t>
            </w:r>
          </w:p>
        </w:tc>
        <w:tc>
          <w:tcPr>
            <w:tcW w:type="dxa" w:w="244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RIDICAT</w:t>
            </w:r>
          </w:p>
        </w:tc>
        <w:tc>
          <w:tcPr>
            <w:tcW w:type="dxa" w:w="561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în general exclus din profilul defensiv</w:t>
            </w:r>
          </w:p>
        </w:tc>
      </w:tr>
      <w:tr>
        <w:tc>
          <w:tcPr>
            <w:tcW w:type="dxa" w:w="201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81-100 sau hard fail</w:t>
            </w:r>
          </w:p>
        </w:tc>
        <w:tc>
          <w:tcPr>
            <w:tcW w:type="dxa" w:w="100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5</w:t>
            </w:r>
          </w:p>
        </w:tc>
        <w:tc>
          <w:tcPr>
            <w:tcW w:type="dxa" w:w="244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WATCH / NO BET</w:t>
            </w:r>
          </w:p>
        </w:tc>
        <w:tc>
          <w:tcPr>
            <w:tcW w:type="dxa" w:w="561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hard gate override; probabilitatea brută nu compensează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Matrice comparativă a familiilor de piață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Familie</w:t>
            </w:r>
          </w:p>
        </w:tc>
        <w:tc>
          <w:tcPr>
            <w:tcW w:type="dxa" w:w="252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Motor / driver</w:t>
            </w:r>
          </w:p>
        </w:tc>
        <w:tc>
          <w:tcPr>
            <w:tcW w:type="dxa" w:w="2952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Failure dominant</w:t>
            </w:r>
          </w:p>
        </w:tc>
        <w:tc>
          <w:tcPr>
            <w:tcW w:type="dxa" w:w="144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Floor minim</w:t>
            </w:r>
          </w:p>
        </w:tc>
        <w:tc>
          <w:tcPr>
            <w:tcW w:type="dxa" w:w="338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Control dominant</w:t>
            </w:r>
          </w:p>
        </w:tc>
      </w:tr>
      <w:tr>
        <w:tc>
          <w:tcPr>
            <w:tcW w:type="dxa" w:w="180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4"/>
              </w:rPr>
              <w:t>Over 0,5</w:t>
            </w:r>
          </w:p>
        </w:tc>
        <w:tc>
          <w:tcPr>
            <w:tcW w:type="dxa" w:w="252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Zero-Mass engine + risc per meci</w:t>
            </w:r>
          </w:p>
        </w:tc>
        <w:tc>
          <w:tcPr>
            <w:tcW w:type="dxa" w:w="295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pG0 / 0-0</w:t>
            </w:r>
          </w:p>
        </w:tc>
        <w:tc>
          <w:tcPr>
            <w:tcW w:type="dxa" w:w="144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1</w:t>
            </w:r>
          </w:p>
        </w:tc>
        <w:tc>
          <w:tcPr>
            <w:tcW w:type="dxa" w:w="338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zero-mass, readiness, confirmări pentru zona premium</w:t>
            </w:r>
          </w:p>
        </w:tc>
      </w:tr>
      <w:tr>
        <w:tc>
          <w:tcPr>
            <w:tcW w:type="dxa" w:w="180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4"/>
              </w:rPr>
              <w:t>Over 1,5</w:t>
            </w:r>
          </w:p>
        </w:tc>
        <w:tc>
          <w:tcPr>
            <w:tcW w:type="dxa" w:w="252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pG0 numeric + pG1 separat</w:t>
            </w:r>
          </w:p>
        </w:tc>
        <w:tc>
          <w:tcPr>
            <w:tcW w:type="dxa" w:w="295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0 sau exact 1</w:t>
            </w:r>
          </w:p>
        </w:tc>
        <w:tc>
          <w:tcPr>
            <w:tcW w:type="dxa" w:w="144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2</w:t>
            </w:r>
          </w:p>
        </w:tc>
        <w:tc>
          <w:tcPr>
            <w:tcW w:type="dxa" w:w="338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Second-Goal Gate</w:t>
            </w:r>
          </w:p>
        </w:tc>
      </w:tr>
      <w:tr>
        <w:tc>
          <w:tcPr>
            <w:tcW w:type="dxa" w:w="180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4"/>
              </w:rPr>
              <w:t>Under Total Goals</w:t>
            </w:r>
          </w:p>
        </w:tc>
        <w:tc>
          <w:tcPr>
            <w:tcW w:type="dxa" w:w="252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single distribution Poisson + NB</w:t>
            </w:r>
          </w:p>
        </w:tc>
        <w:tc>
          <w:tcPr>
            <w:tcW w:type="dxa" w:w="295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P(4+), P(5+), P(6+) după linie</w:t>
            </w:r>
          </w:p>
        </w:tc>
        <w:tc>
          <w:tcPr>
            <w:tcW w:type="dxa" w:w="144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U3,5=2; U4,5=1; U5,5=1</w:t>
            </w:r>
          </w:p>
        </w:tc>
        <w:tc>
          <w:tcPr>
            <w:tcW w:type="dxa" w:w="338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near-tail și severe-tail line-specific</w:t>
            </w:r>
          </w:p>
        </w:tc>
      </w:tr>
      <w:tr>
        <w:tc>
          <w:tcPr>
            <w:tcW w:type="dxa" w:w="180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4"/>
              </w:rPr>
              <w:t>Team Total Goals</w:t>
            </w:r>
          </w:p>
        </w:tc>
        <w:tc>
          <w:tcPr>
            <w:tcW w:type="dxa" w:w="252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distribuție marginală per echipă</w:t>
            </w:r>
          </w:p>
        </w:tc>
        <w:tc>
          <w:tcPr>
            <w:tcW w:type="dxa" w:w="295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blank, exact 1, 2+/3+ după linie</w:t>
            </w:r>
          </w:p>
        </w:tc>
        <w:tc>
          <w:tcPr>
            <w:tcW w:type="dxa" w:w="144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1-4 după piață și rol</w:t>
            </w:r>
          </w:p>
        </w:tc>
        <w:tc>
          <w:tcPr>
            <w:tcW w:type="dxa" w:w="338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market-role, second-goal team, collapse tail, promotion gate</w:t>
            </w:r>
          </w:p>
        </w:tc>
      </w:tr>
      <w:tr>
        <w:tc>
          <w:tcPr>
            <w:tcW w:type="dxa" w:w="180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4"/>
              </w:rPr>
              <w:t>Handicap European</w:t>
            </w:r>
          </w:p>
        </w:tc>
        <w:tc>
          <w:tcPr>
            <w:tcW w:type="dxa" w:w="252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score-margin distribution</w:t>
            </w:r>
          </w:p>
        </w:tc>
        <w:tc>
          <w:tcPr>
            <w:tcW w:type="dxa" w:w="295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exact margin + concentration</w:t>
            </w:r>
          </w:p>
        </w:tc>
        <w:tc>
          <w:tcPr>
            <w:tcW w:type="dxa" w:w="144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1-4 după starea liniei</w:t>
            </w:r>
          </w:p>
        </w:tc>
        <w:tc>
          <w:tcPr>
            <w:tcW w:type="dxa" w:w="338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CombinedGate; hard fail=5</w:t>
            </w:r>
          </w:p>
        </w:tc>
      </w:tr>
      <w:tr>
        <w:tc>
          <w:tcPr>
            <w:tcW w:type="dxa" w:w="180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4"/>
              </w:rPr>
              <w:t>BTTS</w:t>
            </w:r>
          </w:p>
        </w:tc>
        <w:tc>
          <w:tcPr>
            <w:tcW w:type="dxa" w:w="252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P(score) contextual H/A</w:t>
            </w:r>
          </w:p>
        </w:tc>
        <w:tc>
          <w:tcPr>
            <w:tcW w:type="dxa" w:w="295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weakest-team blank / opponent clean-sheet</w:t>
            </w:r>
          </w:p>
        </w:tc>
        <w:tc>
          <w:tcPr>
            <w:tcW w:type="dxa" w:w="144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3</w:t>
            </w:r>
          </w:p>
        </w:tc>
        <w:tc>
          <w:tcPr>
            <w:tcW w:type="dxa" w:w="338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home/away scoring + clean-sheet gates</w:t>
            </w:r>
          </w:p>
        </w:tc>
      </w:tr>
      <w:tr>
        <w:tc>
          <w:tcPr>
            <w:tcW w:type="dxa" w:w="180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4"/>
              </w:rPr>
              <w:t>Șansă Dublă</w:t>
            </w:r>
          </w:p>
        </w:tc>
        <w:tc>
          <w:tcPr>
            <w:tcW w:type="dxa" w:w="252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1X2 model + market audit</w:t>
            </w:r>
          </w:p>
        </w:tc>
        <w:tc>
          <w:tcPr>
            <w:tcW w:type="dxa" w:w="295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outcome exclus / draw</w:t>
            </w:r>
          </w:p>
        </w:tc>
        <w:tc>
          <w:tcPr>
            <w:tcW w:type="dxa" w:w="144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1 posibil condiționat</w:t>
            </w:r>
          </w:p>
        </w:tc>
        <w:tc>
          <w:tcPr>
            <w:tcW w:type="dxa" w:w="338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Market Direction / Draw Gate; failure conservator</w:t>
            </w:r>
          </w:p>
        </w:tc>
      </w:tr>
      <w:tr>
        <w:tc>
          <w:tcPr>
            <w:tcW w:type="dxa" w:w="180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4"/>
              </w:rPr>
              <w:t>Cornere Multi-Line</w:t>
            </w:r>
          </w:p>
        </w:tc>
        <w:tc>
          <w:tcPr>
            <w:tcW w:type="dxa" w:w="252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distribuție totală comună</w:t>
            </w:r>
          </w:p>
        </w:tc>
        <w:tc>
          <w:tcPr>
            <w:tcW w:type="dxa" w:w="295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Over: low-tail; Under: upper-tail</w:t>
            </w:r>
          </w:p>
        </w:tc>
        <w:tc>
          <w:tcPr>
            <w:tcW w:type="dxa" w:w="144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2</w:t>
            </w:r>
          </w:p>
        </w:tc>
        <w:tc>
          <w:tcPr>
            <w:tcW w:type="dxa" w:w="338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12 valori native + sample + dispersion; sourcing completion</w:t>
            </w:r>
          </w:p>
        </w:tc>
      </w:tr>
      <w:tr>
        <w:tc>
          <w:tcPr>
            <w:tcW w:type="dxa" w:w="180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4"/>
              </w:rPr>
              <w:t>Cartonașe Multi-Line</w:t>
            </w:r>
          </w:p>
        </w:tc>
        <w:tc>
          <w:tcPr>
            <w:tcW w:type="dxa" w:w="252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distribuție adaptivă total cards</w:t>
            </w:r>
          </w:p>
        </w:tc>
        <w:tc>
          <w:tcPr>
            <w:tcW w:type="dxa" w:w="295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Over: low-tail; Under: upper-tail + red/dispersion</w:t>
            </w:r>
          </w:p>
        </w:tc>
        <w:tc>
          <w:tcPr>
            <w:tcW w:type="dxa" w:w="144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3</w:t>
            </w:r>
          </w:p>
        </w:tc>
        <w:tc>
          <w:tcPr>
            <w:tcW w:type="dxa" w:w="338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4"/>
              </w:rPr>
              <w:t>normalizare, echipe H/A, arbitru, tail și sourcing completion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Over 0,5 goluri</w:t>
      </w:r>
    </w:p>
    <w:p>
      <w:pPr>
        <w:spacing w:after="80" w:line="247" w:lineRule="auto"/>
      </w:pPr>
      <w:r>
        <w:rPr>
          <w:i w:val="0"/>
        </w:rPr>
        <w:t>Failure mode-ul este zero-mass: evenimentul relevant este 0-0. Modelul separă forecastul probabilistic de guvernanța riscului; un cap de probabilitate limitează precizia raportată, dar nu determină singur eticheta de risc.</w:t>
      </w:r>
    </w:p>
    <w:p>
      <w:pPr>
        <w:pStyle w:val="ListBullet"/>
        <w:spacing w:after="40" w:line="240" w:lineRule="auto"/>
      </w:pPr>
      <w:r>
        <w:t>pG0 trebuie să fie masa numerică reală la zero, estimată din blank H/A, clean-sheet advers relevant, istoric 0-0, finishing, low-conversion, xG/xGA și context.</w:t>
      </w:r>
    </w:p>
    <w:p>
      <w:pPr>
        <w:pStyle w:val="ListBullet"/>
        <w:spacing w:after="40" w:line="240" w:lineRule="auto"/>
      </w:pPr>
      <w:r>
        <w:t>SMALL SAMPLE poate fi absorbit gradual prin prior, shrinkage, Model Uncertainty și Confidence; nu produce automat PRUDENT.</w:t>
      </w:r>
    </w:p>
    <w:p>
      <w:pPr>
        <w:pStyle w:val="ListBullet"/>
        <w:spacing w:after="40" w:line="240" w:lineRule="auto"/>
      </w:pPr>
      <w:r>
        <w:t>AVAILABLE - NOT CHECKED cere recheck, nu hard fail. NOT AVAILABLE critic sau SOURCE CONFLICT pe zero-mass poate produce Nivel 5.</w:t>
      </w:r>
    </w:p>
    <w:p>
      <w:pPr>
        <w:pStyle w:val="ListBullet"/>
        <w:spacing w:after="40" w:line="240" w:lineRule="auto"/>
      </w:pPr>
      <w:r>
        <w:t>Zona de probabilitate foarte înaltă necesită zero-mass scăzut, confirmări independente și lineup/availability relevantă; plafonul anti-false-precision rămâne separat de Risk Level.</w:t>
      </w:r>
    </w:p>
    <w:p>
      <w:pPr>
        <w:pStyle w:val="ListBullet"/>
        <w:spacing w:after="40" w:line="240" w:lineRule="auto"/>
      </w:pPr>
      <w:r>
        <w:t>Ranking: G0 / Data Readiness -&gt; Risk Level -&gt; P_adjusted -&gt; Confidence.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rPr>
          <w:tblHeader w:val="true"/>
        </w:trPr>
        <w:tc>
          <w:tcPr>
            <w:tcW w:type="dxa" w:w="1152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G0</w:t>
            </w:r>
          </w:p>
        </w:tc>
        <w:tc>
          <w:tcPr>
            <w:tcW w:type="dxa" w:w="1656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Zero-Mass</w:t>
            </w:r>
          </w:p>
        </w:tc>
        <w:tc>
          <w:tcPr>
            <w:tcW w:type="dxa" w:w="3096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Readiness</w:t>
            </w:r>
          </w:p>
        </w:tc>
        <w:tc>
          <w:tcPr>
            <w:tcW w:type="dxa" w:w="144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52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Verdict orientativ</w:t>
            </w:r>
          </w:p>
        </w:tc>
      </w:tr>
      <w:tr>
        <w:tc>
          <w:tcPr>
            <w:tcW w:type="dxa" w:w="115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PASS</w:t>
            </w:r>
          </w:p>
        </w:tc>
        <w:tc>
          <w:tcPr>
            <w:tcW w:type="dxa" w:w="165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SCĂZUT</w:t>
            </w:r>
          </w:p>
        </w:tc>
        <w:tc>
          <w:tcPr>
            <w:tcW w:type="dxa" w:w="309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VERIFIED / PRIOR valid</w:t>
            </w:r>
          </w:p>
        </w:tc>
        <w:tc>
          <w:tcPr>
            <w:tcW w:type="dxa" w:w="144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Nivel 1</w:t>
            </w:r>
          </w:p>
        </w:tc>
        <w:tc>
          <w:tcPr>
            <w:tcW w:type="dxa" w:w="352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DEFENSIV</w:t>
            </w:r>
          </w:p>
        </w:tc>
      </w:tr>
      <w:tr>
        <w:tc>
          <w:tcPr>
            <w:tcW w:type="dxa" w:w="115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PASS</w:t>
            </w:r>
          </w:p>
        </w:tc>
        <w:tc>
          <w:tcPr>
            <w:tcW w:type="dxa" w:w="165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MEDIU</w:t>
            </w:r>
          </w:p>
        </w:tc>
        <w:tc>
          <w:tcPr>
            <w:tcW w:type="dxa" w:w="309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VERIFIED / PRIOR</w:t>
            </w:r>
          </w:p>
        </w:tc>
        <w:tc>
          <w:tcPr>
            <w:tcW w:type="dxa" w:w="144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Nivel 2</w:t>
            </w:r>
          </w:p>
        </w:tc>
        <w:tc>
          <w:tcPr>
            <w:tcW w:type="dxa" w:w="352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PRUDENT</w:t>
            </w:r>
          </w:p>
        </w:tc>
      </w:tr>
      <w:tr>
        <w:tc>
          <w:tcPr>
            <w:tcW w:type="dxa" w:w="115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PASS</w:t>
            </w:r>
          </w:p>
        </w:tc>
        <w:tc>
          <w:tcPr>
            <w:tcW w:type="dxa" w:w="165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MEDIU</w:t>
            </w:r>
          </w:p>
        </w:tc>
        <w:tc>
          <w:tcPr>
            <w:tcW w:type="dxa" w:w="309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SMALL SAMPLE controlat</w:t>
            </w:r>
          </w:p>
        </w:tc>
        <w:tc>
          <w:tcPr>
            <w:tcW w:type="dxa" w:w="144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Nivel 2-3</w:t>
            </w:r>
          </w:p>
        </w:tc>
        <w:tc>
          <w:tcPr>
            <w:tcW w:type="dxa" w:w="352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PRUDENT / MODERAT după scor</w:t>
            </w:r>
          </w:p>
        </w:tc>
      </w:tr>
      <w:tr>
        <w:tc>
          <w:tcPr>
            <w:tcW w:type="dxa" w:w="115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PASS</w:t>
            </w:r>
          </w:p>
        </w:tc>
        <w:tc>
          <w:tcPr>
            <w:tcW w:type="dxa" w:w="165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RIDICAT</w:t>
            </w:r>
          </w:p>
        </w:tc>
        <w:tc>
          <w:tcPr>
            <w:tcW w:type="dxa" w:w="309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oricare</w:t>
            </w:r>
          </w:p>
        </w:tc>
        <w:tc>
          <w:tcPr>
            <w:tcW w:type="dxa" w:w="144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Nivel 4-5</w:t>
            </w:r>
          </w:p>
        </w:tc>
        <w:tc>
          <w:tcPr>
            <w:tcW w:type="dxa" w:w="352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RIDICAT / WATCH</w:t>
            </w:r>
          </w:p>
        </w:tc>
      </w:tr>
      <w:tr>
        <w:tc>
          <w:tcPr>
            <w:tcW w:type="dxa" w:w="115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FAIL</w:t>
            </w:r>
          </w:p>
        </w:tc>
        <w:tc>
          <w:tcPr>
            <w:tcW w:type="dxa" w:w="165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oricare</w:t>
            </w:r>
          </w:p>
        </w:tc>
        <w:tc>
          <w:tcPr>
            <w:tcW w:type="dxa" w:w="309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NOT AVAILABLE critic / SOURCE CONFLICT</w:t>
            </w:r>
          </w:p>
        </w:tc>
        <w:tc>
          <w:tcPr>
            <w:tcW w:type="dxa" w:w="144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Nivel 5</w:t>
            </w:r>
          </w:p>
        </w:tc>
        <w:tc>
          <w:tcPr>
            <w:tcW w:type="dxa" w:w="352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WATCH / NO BET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Over 1,5 goluri</w:t>
      </w:r>
    </w:p>
    <w:p>
      <w:pPr>
        <w:spacing w:after="80" w:line="247" w:lineRule="auto"/>
      </w:pPr>
      <w:r>
        <w:rPr>
          <w:i w:val="0"/>
        </w:rPr>
        <w:t>Modelul folosește pG0 numeric din motorul zero-mass, dar tratează separat pG1. Failure-ul este pG0 + pG1 sub stress; cap-ul folosit pentru raportarea Over 0,5 nu se introduce în formula Over 1,5.</w:t>
      </w:r>
    </w:p>
    <w:p>
      <w:pPr>
        <w:pStyle w:val="ListBullet"/>
        <w:spacing w:after="40" w:line="240" w:lineRule="auto"/>
      </w:pPr>
      <w:r>
        <w:t>pG1 se construiește din istoric exact-1, current/prior și stress one-sided / low-conversion; nu se derivă din lambda simplu.</w:t>
      </w:r>
    </w:p>
    <w:p>
      <w:pPr>
        <w:pStyle w:val="ListBullet"/>
        <w:spacing w:after="40" w:line="240" w:lineRule="auto"/>
      </w:pPr>
      <w:r>
        <w:t>Second-Goal Gate: failure &lt;=15% este zona puternică; 15-18% este zona prudentă; peste 18% este NO BET.</w:t>
      </w:r>
    </w:p>
    <w:p>
      <w:pPr>
        <w:pStyle w:val="ListBullet"/>
        <w:spacing w:after="40" w:line="240" w:lineRule="auto"/>
      </w:pPr>
      <w:r>
        <w:t>Structural floor este Nivel 2. Un Over 0,5 DEFENSIV poate coexista cu un Over 1,5 NO BET pe același meci.</w:t>
      </w:r>
    </w:p>
    <w:p>
      <w:pPr>
        <w:pStyle w:val="ListBullet"/>
        <w:spacing w:after="40" w:line="240" w:lineRule="auto"/>
      </w:pPr>
      <w:r>
        <w:t>SMALL SAMPLE folosește prior/shrinkage + confidence cap; EV nu participă la verdictul tehnic.</w:t>
      </w:r>
    </w:p>
    <w:p>
      <w:pPr>
        <w:pStyle w:val="Heading1"/>
        <w:keepNext/>
      </w:pPr>
      <w:r>
        <w:t>8. Under Total Goals Multi-Line</w:t>
      </w:r>
    </w:p>
    <w:p>
      <w:pPr>
        <w:spacing w:after="80" w:line="247" w:lineRule="auto"/>
      </w:pPr>
      <w:r>
        <w:rPr>
          <w:i w:val="0"/>
        </w:rPr>
        <w:t>Toate liniile folosesc aceeași distribuție a totalului, construită cu Poisson și Negative Binomial atunci când dispersia o cere. Diferența dintre linii este în failure decomposition, tail-ul relevant, structural floor și calibrarea line-specific.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1296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Linie</w:t>
            </w:r>
          </w:p>
        </w:tc>
        <w:tc>
          <w:tcPr>
            <w:tcW w:type="dxa" w:w="194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Failure total</w:t>
            </w:r>
          </w:p>
        </w:tc>
        <w:tc>
          <w:tcPr>
            <w:tcW w:type="dxa" w:w="158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Near-tail</w:t>
            </w:r>
          </w:p>
        </w:tc>
        <w:tc>
          <w:tcPr>
            <w:tcW w:type="dxa" w:w="172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Severe-tail</w:t>
            </w:r>
          </w:p>
        </w:tc>
        <w:tc>
          <w:tcPr>
            <w:tcW w:type="dxa" w:w="108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Floor</w:t>
            </w:r>
          </w:p>
        </w:tc>
        <w:tc>
          <w:tcPr>
            <w:tcW w:type="dxa" w:w="468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Regulă</w:t>
            </w:r>
          </w:p>
        </w:tc>
      </w:tr>
      <w:tr>
        <w:tc>
          <w:tcPr>
            <w:tcW w:type="dxa" w:w="129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U3,5</w:t>
            </w:r>
          </w:p>
        </w:tc>
        <w:tc>
          <w:tcPr>
            <w:tcW w:type="dxa" w:w="194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P(4+)</w:t>
            </w:r>
          </w:p>
        </w:tc>
        <w:tc>
          <w:tcPr>
            <w:tcW w:type="dxa" w:w="158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P4</w:t>
            </w:r>
          </w:p>
        </w:tc>
        <w:tc>
          <w:tcPr>
            <w:tcW w:type="dxa" w:w="172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P5+</w:t>
            </w:r>
          </w:p>
        </w:tc>
        <w:tc>
          <w:tcPr>
            <w:tcW w:type="dxa" w:w="108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2</w:t>
            </w:r>
          </w:p>
        </w:tc>
        <w:tc>
          <w:tcPr>
            <w:tcW w:type="dxa" w:w="468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linie challenger; pragurile tail nu se extrapolează</w:t>
            </w:r>
          </w:p>
        </w:tc>
      </w:tr>
      <w:tr>
        <w:tc>
          <w:tcPr>
            <w:tcW w:type="dxa" w:w="129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U4,5</w:t>
            </w:r>
          </w:p>
        </w:tc>
        <w:tc>
          <w:tcPr>
            <w:tcW w:type="dxa" w:w="194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P(5+)</w:t>
            </w:r>
          </w:p>
        </w:tc>
        <w:tc>
          <w:tcPr>
            <w:tcW w:type="dxa" w:w="158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P5</w:t>
            </w:r>
          </w:p>
        </w:tc>
        <w:tc>
          <w:tcPr>
            <w:tcW w:type="dxa" w:w="172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P6+</w:t>
            </w:r>
          </w:p>
        </w:tc>
        <w:tc>
          <w:tcPr>
            <w:tcW w:type="dxa" w:w="108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1</w:t>
            </w:r>
          </w:p>
        </w:tc>
        <w:tc>
          <w:tcPr>
            <w:tcW w:type="dxa" w:w="468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P5 este separat de P6+; near-tail poate deprioritiza sau coborî o clasă</w:t>
            </w:r>
          </w:p>
        </w:tc>
      </w:tr>
      <w:tr>
        <w:tc>
          <w:tcPr>
            <w:tcW w:type="dxa" w:w="129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U5,5</w:t>
            </w:r>
          </w:p>
        </w:tc>
        <w:tc>
          <w:tcPr>
            <w:tcW w:type="dxa" w:w="194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P(6+)</w:t>
            </w:r>
          </w:p>
        </w:tc>
        <w:tc>
          <w:tcPr>
            <w:tcW w:type="dxa" w:w="158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P6</w:t>
            </w:r>
          </w:p>
        </w:tc>
        <w:tc>
          <w:tcPr>
            <w:tcW w:type="dxa" w:w="172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P7+</w:t>
            </w:r>
          </w:p>
        </w:tc>
        <w:tc>
          <w:tcPr>
            <w:tcW w:type="dxa" w:w="108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1</w:t>
            </w:r>
          </w:p>
        </w:tc>
        <w:tc>
          <w:tcPr>
            <w:tcW w:type="dxa" w:w="468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linie mai largă, evaluată separat; calibrarea rămâne line-specific</w:t>
            </w:r>
          </w:p>
        </w:tc>
      </w:tr>
    </w:tbl>
    <w:p>
      <w:pPr>
        <w:spacing w:after="0"/>
      </w:pPr>
    </w:p>
    <w:p>
      <w:pPr>
        <w:pStyle w:val="ListBullet"/>
        <w:spacing w:after="40" w:line="240" w:lineRule="auto"/>
      </w:pPr>
      <w:r>
        <w:t>P5 ridicat + P6+ mic sugerează de regulă preferință pentru U5,5, nu NO BET automat.</w:t>
      </w:r>
    </w:p>
    <w:p>
      <w:pPr>
        <w:pStyle w:val="ListBullet"/>
        <w:spacing w:after="40" w:line="240" w:lineRule="auto"/>
      </w:pPr>
      <w:r>
        <w:t>Verdictul nu poate fi semantic mai bun decât Risk Level.</w:t>
      </w:r>
    </w:p>
    <w:p>
      <w:pPr>
        <w:pStyle w:val="ListBullet"/>
        <w:spacing w:after="40" w:line="240" w:lineRule="auto"/>
      </w:pPr>
      <w:r>
        <w:t>Pragurile noi se promovează numai după predicții înghețate și validare OOS; calibration pending nu este lipsă de date.</w:t>
      </w:r>
    </w:p>
    <w:p>
      <w:pPr>
        <w:pStyle w:val="Heading1"/>
        <w:keepNext/>
      </w:pPr>
      <w:r>
        <w:t>9. Team Total Goals</w:t>
      </w:r>
    </w:p>
    <w:p>
      <w:pPr>
        <w:spacing w:after="80" w:line="247" w:lineRule="auto"/>
      </w:pPr>
      <w:r>
        <w:rPr>
          <w:i w:val="0"/>
        </w:rPr>
        <w:t>Team Total modelează distribuția marginală a fiecărei echipe. Rolul de favorit/nefavorit este verificat prin piața 1X2, iar under-urile pe favorite sau near-favorite au controale structurale suplimentare pentru a evita promovarea artificială pe baza unui lambda central.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Piață</w:t>
            </w:r>
          </w:p>
        </w:tc>
        <w:tc>
          <w:tcPr>
            <w:tcW w:type="dxa" w:w="1512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Floor favorit</w:t>
            </w:r>
          </w:p>
        </w:tc>
        <w:tc>
          <w:tcPr>
            <w:tcW w:type="dxa" w:w="1656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Floor nefavorit</w:t>
            </w:r>
          </w:p>
        </w:tc>
        <w:tc>
          <w:tcPr>
            <w:tcW w:type="dxa" w:w="2592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Failure dominant</w:t>
            </w:r>
          </w:p>
        </w:tc>
        <w:tc>
          <w:tcPr>
            <w:tcW w:type="dxa" w:w="3672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Control principal</w:t>
            </w:r>
          </w:p>
        </w:tc>
      </w:tr>
      <w:tr>
        <w:tc>
          <w:tcPr>
            <w:tcW w:type="dxa" w:w="172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Team O0,5</w:t>
            </w:r>
          </w:p>
        </w:tc>
        <w:tc>
          <w:tcPr>
            <w:tcW w:type="dxa" w:w="151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1</w:t>
            </w:r>
          </w:p>
        </w:tc>
        <w:tc>
          <w:tcPr>
            <w:tcW w:type="dxa" w:w="165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2</w:t>
            </w:r>
          </w:p>
        </w:tc>
        <w:tc>
          <w:tcPr>
            <w:tcW w:type="dxa" w:w="259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blank / 0 goluri</w:t>
            </w:r>
          </w:p>
        </w:tc>
        <w:tc>
          <w:tcPr>
            <w:tcW w:type="dxa" w:w="367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zero-mass + readiness</w:t>
            </w:r>
          </w:p>
        </w:tc>
      </w:tr>
      <w:tr>
        <w:tc>
          <w:tcPr>
            <w:tcW w:type="dxa" w:w="172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Team O1,5</w:t>
            </w:r>
          </w:p>
        </w:tc>
        <w:tc>
          <w:tcPr>
            <w:tcW w:type="dxa" w:w="151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2</w:t>
            </w:r>
          </w:p>
        </w:tc>
        <w:tc>
          <w:tcPr>
            <w:tcW w:type="dxa" w:w="165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3</w:t>
            </w:r>
          </w:p>
        </w:tc>
        <w:tc>
          <w:tcPr>
            <w:tcW w:type="dxa" w:w="259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0 sau exact 1 gol</w:t>
            </w:r>
          </w:p>
        </w:tc>
        <w:tc>
          <w:tcPr>
            <w:tcW w:type="dxa" w:w="367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second-goal team-specific</w:t>
            </w:r>
          </w:p>
        </w:tc>
      </w:tr>
      <w:tr>
        <w:tc>
          <w:tcPr>
            <w:tcW w:type="dxa" w:w="172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Team U0,5</w:t>
            </w:r>
          </w:p>
        </w:tc>
        <w:tc>
          <w:tcPr>
            <w:tcW w:type="dxa" w:w="151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4</w:t>
            </w:r>
          </w:p>
        </w:tc>
        <w:tc>
          <w:tcPr>
            <w:tcW w:type="dxa" w:w="165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3</w:t>
            </w:r>
          </w:p>
        </w:tc>
        <w:tc>
          <w:tcPr>
            <w:tcW w:type="dxa" w:w="259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echipa marchează cel puțin 1</w:t>
            </w:r>
          </w:p>
        </w:tc>
        <w:tc>
          <w:tcPr>
            <w:tcW w:type="dxa" w:w="367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WATCH / NO BET implicit; promovare numai cu confirmări multiple</w:t>
            </w:r>
          </w:p>
        </w:tc>
      </w:tr>
      <w:tr>
        <w:tc>
          <w:tcPr>
            <w:tcW w:type="dxa" w:w="172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Team U1,5</w:t>
            </w:r>
          </w:p>
        </w:tc>
        <w:tc>
          <w:tcPr>
            <w:tcW w:type="dxa" w:w="151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2</w:t>
            </w:r>
          </w:p>
        </w:tc>
        <w:tc>
          <w:tcPr>
            <w:tcW w:type="dxa" w:w="165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2</w:t>
            </w:r>
          </w:p>
        </w:tc>
        <w:tc>
          <w:tcPr>
            <w:tcW w:type="dxa" w:w="259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echipa marchează cel puțin 2</w:t>
            </w:r>
          </w:p>
        </w:tc>
        <w:tc>
          <w:tcPr>
            <w:tcW w:type="dxa" w:w="367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favoritul nu devine DEFENSIV numai din lambda</w:t>
            </w:r>
          </w:p>
        </w:tc>
      </w:tr>
      <w:tr>
        <w:tc>
          <w:tcPr>
            <w:tcW w:type="dxa" w:w="172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Team U2,5</w:t>
            </w:r>
          </w:p>
        </w:tc>
        <w:tc>
          <w:tcPr>
            <w:tcW w:type="dxa" w:w="151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1 condiționat</w:t>
            </w:r>
          </w:p>
        </w:tc>
        <w:tc>
          <w:tcPr>
            <w:tcW w:type="dxa" w:w="165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1</w:t>
            </w:r>
          </w:p>
        </w:tc>
        <w:tc>
          <w:tcPr>
            <w:tcW w:type="dxa" w:w="259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echipa marchează cel puțin 3</w:t>
            </w:r>
          </w:p>
        </w:tc>
        <w:tc>
          <w:tcPr>
            <w:tcW w:type="dxa" w:w="367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P3+ H/A și defensive-collapse tail trebuie controlate</w:t>
            </w:r>
          </w:p>
        </w:tc>
      </w:tr>
    </w:tbl>
    <w:p>
      <w:pPr>
        <w:spacing w:after="0"/>
      </w:pPr>
    </w:p>
    <w:p>
      <w:pPr>
        <w:pStyle w:val="ListBullet"/>
        <w:spacing w:after="40" w:line="240" w:lineRule="auto"/>
      </w:pPr>
      <w:r>
        <w:t>Market-Direction audit necesită cote 1X2 și sursă; fără audit, selecția relevantă rămâne WATCH / NO RANK.</w:t>
      </w:r>
    </w:p>
    <w:p>
      <w:pPr>
        <w:pStyle w:val="ListBullet"/>
        <w:spacing w:after="40" w:line="240" w:lineRule="auto"/>
      </w:pPr>
      <w:r>
        <w:t>Dacă market role și model/lambda role sunt în conflict, Risk Level crește cu o clasă; nu se aplică un haircut numeric inventat fără validare.</w:t>
      </w:r>
    </w:p>
    <w:p>
      <w:pPr>
        <w:pStyle w:val="ListBullet"/>
        <w:spacing w:after="40" w:line="240" w:lineRule="auto"/>
      </w:pPr>
      <w:r>
        <w:t>P3+ empiric H/A ridicat exclude Team U2,5 din zona DEFENSIV; opponent GA3+ / defensive collapse adaugă risc separat.</w:t>
      </w:r>
    </w:p>
    <w:p>
      <w:pPr>
        <w:pStyle w:val="ListBullet"/>
        <w:spacing w:after="40" w:line="240" w:lineRule="auto"/>
      </w:pPr>
      <w:r>
        <w:t>Team U0,5 nu este promovat doar pentru că echipa este outsider. Sunt necesare blank, clean-sheet advers, xG/finishing slabe, lineup nefavorabil și cel puțin două confirmări independente.</w:t>
      </w:r>
    </w:p>
    <w:p>
      <w:pPr>
        <w:pStyle w:val="Heading1"/>
        <w:keepNext/>
      </w:pPr>
      <w:r>
        <w:t>10. Handicap European</w:t>
      </w:r>
    </w:p>
    <w:p>
      <w:pPr>
        <w:spacing w:after="80" w:line="247" w:lineRule="auto"/>
      </w:pPr>
      <w:r>
        <w:rPr>
          <w:i w:val="0"/>
        </w:rPr>
        <w:t>Handicapul European este o piață 3-way și se analizează pe distribuția marjei de scor. Exact-margin și concentration sunt riscuri structurale; lipsa prețului exact al handicapului nu produce singură WATCH, deoarece EV nu decide verdictul tehnic.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1"/>
        <w:gridCol w:w="3441"/>
        <w:gridCol w:w="3441"/>
      </w:tblGrid>
      <w:tr>
        <w:trPr>
          <w:tblHeader w:val="true"/>
        </w:trPr>
        <w:tc>
          <w:tcPr>
            <w:tcW w:type="dxa" w:w="2592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446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Regulă operațională</w:t>
            </w:r>
          </w:p>
        </w:tc>
        <w:tc>
          <w:tcPr>
            <w:tcW w:type="dxa" w:w="424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Efect</w:t>
            </w:r>
          </w:p>
        </w:tc>
      </w:tr>
      <w:tr>
        <w:tc>
          <w:tcPr>
            <w:tcW w:type="dxa" w:w="259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Exact margin +2 / +3</w:t>
            </w:r>
          </w:p>
        </w:tc>
        <w:tc>
          <w:tcPr>
            <w:tcW w:type="dxa" w:w="446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&lt;=4% PASS; 4-6% PENALTY; &gt;6% FAIL</w:t>
            </w:r>
          </w:p>
        </w:tc>
        <w:tc>
          <w:tcPr>
            <w:tcW w:type="dxa" w:w="424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FAIL -&gt; NO BET; PENALTY -&gt; minimum PRUDENT și neeligibil pentru Builder</w:t>
            </w:r>
          </w:p>
        </w:tc>
      </w:tr>
      <w:tr>
        <w:tc>
          <w:tcPr>
            <w:tcW w:type="dxa" w:w="259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Exact margin +4</w:t>
            </w:r>
          </w:p>
        </w:tc>
        <w:tc>
          <w:tcPr>
            <w:tcW w:type="dxa" w:w="446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&lt;=3% PASS; &gt;3% FAIL</w:t>
            </w:r>
          </w:p>
        </w:tc>
        <w:tc>
          <w:tcPr>
            <w:tcW w:type="dxa" w:w="424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gate strict</w:t>
            </w:r>
          </w:p>
        </w:tc>
      </w:tr>
      <w:tr>
        <w:tc>
          <w:tcPr>
            <w:tcW w:type="dxa" w:w="259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Concentration234</w:t>
            </w:r>
          </w:p>
        </w:tc>
        <w:tc>
          <w:tcPr>
            <w:tcW w:type="dxa" w:w="446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&lt;=20% PASS; 20-27% PENALTY; &gt;27% FAIL</w:t>
            </w:r>
          </w:p>
        </w:tc>
        <w:tc>
          <w:tcPr>
            <w:tcW w:type="dxa" w:w="424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control separat de exact margin</w:t>
            </w:r>
          </w:p>
        </w:tc>
      </w:tr>
      <w:tr>
        <w:tc>
          <w:tcPr>
            <w:tcW w:type="dxa" w:w="259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CombinedGate</w:t>
            </w:r>
          </w:p>
        </w:tc>
        <w:tc>
          <w:tcPr>
            <w:tcW w:type="dxa" w:w="446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FAIL prevalează; PASS numai cu inputurile necesare populate</w:t>
            </w:r>
          </w:p>
        </w:tc>
        <w:tc>
          <w:tcPr>
            <w:tcW w:type="dxa" w:w="424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hard control final</w:t>
            </w:r>
          </w:p>
        </w:tc>
      </w:tr>
      <w:tr>
        <w:tc>
          <w:tcPr>
            <w:tcW w:type="dxa" w:w="259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Linii fără gate exact-margin dedicat</w:t>
            </w:r>
          </w:p>
        </w:tc>
        <w:tc>
          <w:tcPr>
            <w:tcW w:type="dxa" w:w="446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floor structural mai ridicat până la calibrare dedicată</w:t>
            </w:r>
          </w:p>
        </w:tc>
        <w:tc>
          <w:tcPr>
            <w:tcW w:type="dxa" w:w="424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minimum MODERAT pentru 0/±1 în arhitectura actuală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BTTS</w:t>
      </w:r>
    </w:p>
    <w:p>
      <w:pPr>
        <w:spacing w:after="80" w:line="247" w:lineRule="auto"/>
      </w:pPr>
      <w:r>
        <w:rPr>
          <w:i w:val="0"/>
        </w:rPr>
        <w:t>BTTS este o piață bilaterală. Modelul cere ca ambele echipe să aibă probabilitate contextuală de scoring suficientă și ca blank-rate / clean-sheet risk să fie controlate. Un lambda total mare nu poate compensa o echipă slabă pe componenta de scoring.</w:t>
      </w:r>
    </w:p>
    <w:p>
      <w:pPr>
        <w:pStyle w:val="ListBullet"/>
        <w:spacing w:after="40" w:line="240" w:lineRule="auto"/>
      </w:pPr>
      <w:r>
        <w:t>Scoring-ul se evaluează în context home pentru gazde și away pentru oaspeți.</w:t>
      </w:r>
    </w:p>
    <w:p>
      <w:pPr>
        <w:pStyle w:val="ListBullet"/>
        <w:spacing w:after="40" w:line="240" w:lineRule="auto"/>
      </w:pPr>
      <w:r>
        <w:t>Home scoring și away scoring au prag operațional de minimum 68%.</w:t>
      </w:r>
    </w:p>
    <w:p>
      <w:pPr>
        <w:pStyle w:val="ListBullet"/>
        <w:spacing w:after="40" w:line="240" w:lineRule="auto"/>
      </w:pPr>
      <w:r>
        <w:t>Clean-Sheet Gate cere blank-ul weakest side &lt;=32% și clean-sheet-ul advers relevant &lt;=30% în banda curentă BET.</w:t>
      </w:r>
    </w:p>
    <w:p>
      <w:pPr>
        <w:pStyle w:val="ListBullet"/>
        <w:spacing w:after="40" w:line="240" w:lineRule="auto"/>
      </w:pPr>
      <w:r>
        <w:t>Structural floor este Nivel 3: BTTS nu poate fi clasificat DEFENSIV sau PRUDENT în arhitectura activă.</w:t>
      </w:r>
    </w:p>
    <w:p>
      <w:pPr>
        <w:pStyle w:val="ListBullet"/>
        <w:spacing w:after="40" w:line="240" w:lineRule="auto"/>
      </w:pPr>
      <w:r>
        <w:t>Early-season poate folosi xG/xGA H/A, blank, clean-sheet, scored/conceded și BTTS H/A prin prior + shrinkage. Official XI poate fi PENDING OFFICIAL fără a deveni generic LIPSA DATE.</w:t>
      </w:r>
    </w:p>
    <w:p>
      <w:pPr>
        <w:pStyle w:val="Heading1"/>
        <w:keepNext/>
      </w:pPr>
      <w:r>
        <w:t>12. Șansă Dublă</w:t>
      </w:r>
    </w:p>
    <w:p>
      <w:pPr>
        <w:spacing w:after="80" w:line="247" w:lineRule="auto"/>
      </w:pPr>
      <w:r>
        <w:rPr>
          <w:i w:val="0"/>
        </w:rPr>
        <w:t>Șansa Dublă pornește de la probabilitățile 1X2 de-vig. Pentru profilul defensiv, failure-ul utilizat este conservator: se ia riscul mai mare dintre model și piață. Market Direction are precedență față de home advantage sau alte argumente contextuale.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1"/>
        <w:gridCol w:w="3441"/>
        <w:gridCol w:w="3441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Selecție</w:t>
            </w:r>
          </w:p>
        </w:tc>
        <w:tc>
          <w:tcPr>
            <w:tcW w:type="dxa" w:w="316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Failure relevant</w:t>
            </w:r>
          </w:p>
        </w:tc>
        <w:tc>
          <w:tcPr>
            <w:tcW w:type="dxa" w:w="640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Regulă</w:t>
            </w:r>
          </w:p>
        </w:tc>
      </w:tr>
      <w:tr>
        <w:tc>
          <w:tcPr>
            <w:tcW w:type="dxa" w:w="172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1X / X2</w:t>
            </w:r>
          </w:p>
        </w:tc>
        <w:tc>
          <w:tcPr>
            <w:tcW w:type="dxa" w:w="316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outcome-ul exclus</w:t>
            </w:r>
          </w:p>
        </w:tc>
        <w:tc>
          <w:tcPr>
            <w:tcW w:type="dxa" w:w="640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&lt;=30% PASS; 30-35% zonă prudentă; &gt;35% FAIL</w:t>
            </w:r>
          </w:p>
        </w:tc>
      </w:tr>
      <w:tr>
        <w:tc>
          <w:tcPr>
            <w:tcW w:type="dxa" w:w="172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12</w:t>
            </w:r>
          </w:p>
        </w:tc>
        <w:tc>
          <w:tcPr>
            <w:tcW w:type="dxa" w:w="316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egalul</w:t>
            </w:r>
          </w:p>
        </w:tc>
        <w:tc>
          <w:tcPr>
            <w:tcW w:type="dxa" w:w="640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Pdraw ajustat = max(model, market); &lt;=20% defensiv, 20-23% prudent, 23-26% WATCH, &gt;26% NO BET</w:t>
            </w:r>
          </w:p>
        </w:tc>
      </w:tr>
    </w:tbl>
    <w:p>
      <w:pPr>
        <w:spacing w:after="0"/>
      </w:pPr>
    </w:p>
    <w:p>
      <w:pPr>
        <w:pStyle w:val="ListBullet"/>
        <w:spacing w:after="40" w:line="240" w:lineRule="auto"/>
      </w:pPr>
      <w:r>
        <w:t>Fără market audit complet nu se face ranking.</w:t>
      </w:r>
    </w:p>
    <w:p>
      <w:pPr>
        <w:pStyle w:val="ListBullet"/>
        <w:spacing w:after="40" w:line="240" w:lineRule="auto"/>
      </w:pPr>
      <w:r>
        <w:t>Favorite Fragility Audit poate adăuga +1 Risk Level când semnalele de fragilitate sunt materiale, fără a suprascrie un Market Direction FAIL.</w:t>
      </w:r>
    </w:p>
    <w:p>
      <w:pPr>
        <w:pStyle w:val="ListBullet"/>
        <w:spacing w:after="40" w:line="240" w:lineRule="auto"/>
      </w:pPr>
      <w:r>
        <w:t>Mapping-ul semantic rămâne strict: Nivel 1 DEFENSIV, Nivel 2 minimum PRUDENT, Nivel 3 minimum MODERAT, Nivel 4 RIDICAT, Nivel 5 WATCH / NO BET.</w:t>
      </w:r>
    </w:p>
    <w:p>
      <w:pPr>
        <w:pStyle w:val="Heading1"/>
        <w:keepNext/>
      </w:pPr>
      <w:r>
        <w:t>13. Cornere Multi-Line</w:t>
      </w:r>
    </w:p>
    <w:p>
      <w:pPr>
        <w:spacing w:after="80" w:line="247" w:lineRule="auto"/>
      </w:pPr>
      <w:r>
        <w:rPr>
          <w:i w:val="0"/>
        </w:rPr>
        <w:t>Cornerele folosesc o distribuție comună a totalului și controlează separat fiecare linie. Over-urile sunt expuse low-tail-ului, iar Under-urile upper-tail-ului. Nu se transferă automat pragurile unei linii către alta.</w:t>
      </w:r>
    </w:p>
    <w:p>
      <w:pPr>
        <w:pStyle w:val="ListBullet"/>
        <w:spacing w:after="40" w:line="240" w:lineRule="auto"/>
      </w:pPr>
      <w:r>
        <w:t>Core G0 este format din cele 12 valori native de cornere: season / home-away / recent, for &amp; against, plus sample-ul relevant.</w:t>
      </w:r>
    </w:p>
    <w:p>
      <w:pPr>
        <w:pStyle w:val="ListBullet"/>
        <w:spacing w:after="40" w:line="240" w:lineRule="auto"/>
      </w:pPr>
      <w:r>
        <w:t>Blocked shots, crosses, shots, possession și Field Tilt sunt factori G1 soft; lipsa lor poate reduce Confidence, dar nu produce singură G0 FAIL.</w:t>
      </w:r>
    </w:p>
    <w:p>
      <w:pPr>
        <w:pStyle w:val="ListBullet"/>
        <w:spacing w:after="40" w:line="240" w:lineRule="auto"/>
      </w:pPr>
      <w:r>
        <w:t>D = variance / mean este derivat după construirea istoricului și controlează alegerea / riscul de distribuție.</w:t>
      </w:r>
    </w:p>
    <w:p>
      <w:pPr>
        <w:pStyle w:val="ListBullet"/>
        <w:spacing w:after="40" w:line="240" w:lineRule="auto"/>
      </w:pPr>
      <w:r>
        <w:t>Structural floor este Nivel 2 pentru toate liniile curente.</w:t>
      </w:r>
    </w:p>
    <w:p>
      <w:pPr>
        <w:pStyle w:val="ListBullet"/>
        <w:spacing w:after="40" w:line="240" w:lineRule="auto"/>
      </w:pPr>
      <w:r>
        <w:t>Pentru O3,5 există o bandă pilot de low-tail; celelalte linii rămân fără praguri promovate până la suficient frozen OOS. Lipsa unui prag calibrat nu este LIPSA DATE.</w:t>
      </w:r>
    </w:p>
    <w:p>
      <w:pPr>
        <w:pStyle w:val="ListBullet"/>
        <w:spacing w:after="40" w:line="240" w:lineRule="auto"/>
      </w:pPr>
      <w:r>
        <w:t>Auditul de input și Completion Check sunt obligatorii operațional înainte de rulare: sursele de goluri sau 1X2 nu validează automat datele de cornere.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144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Ramură</w:t>
            </w:r>
          </w:p>
        </w:tc>
        <w:tc>
          <w:tcPr>
            <w:tcW w:type="dxa" w:w="2016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Linii</w:t>
            </w:r>
          </w:p>
        </w:tc>
        <w:tc>
          <w:tcPr>
            <w:tcW w:type="dxa" w:w="2376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Failure</w:t>
            </w:r>
          </w:p>
        </w:tc>
        <w:tc>
          <w:tcPr>
            <w:tcW w:type="dxa" w:w="576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Observație</w:t>
            </w:r>
          </w:p>
        </w:tc>
      </w:tr>
      <w:tr>
        <w:tc>
          <w:tcPr>
            <w:tcW w:type="dxa" w:w="144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Over</w:t>
            </w:r>
          </w:p>
        </w:tc>
        <w:tc>
          <w:tcPr>
            <w:tcW w:type="dxa" w:w="201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O3,5-O8,5</w:t>
            </w:r>
          </w:p>
        </w:tc>
        <w:tc>
          <w:tcPr>
            <w:tcW w:type="dxa" w:w="237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P(C &lt;= k)</w:t>
            </w:r>
          </w:p>
        </w:tc>
        <w:tc>
          <w:tcPr>
            <w:tcW w:type="dxa" w:w="576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low-tail line-specific; O3,5 are pilot, restul se monitorizează până la OOS</w:t>
            </w:r>
          </w:p>
        </w:tc>
      </w:tr>
      <w:tr>
        <w:tc>
          <w:tcPr>
            <w:tcW w:type="dxa" w:w="144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Under</w:t>
            </w:r>
          </w:p>
        </w:tc>
        <w:tc>
          <w:tcPr>
            <w:tcW w:type="dxa" w:w="201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U10,5-U17,5</w:t>
            </w:r>
          </w:p>
        </w:tc>
        <w:tc>
          <w:tcPr>
            <w:tcW w:type="dxa" w:w="2376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P(C &gt;= k+1)</w:t>
            </w:r>
          </w:p>
        </w:tc>
        <w:tc>
          <w:tcPr>
            <w:tcW w:type="dxa" w:w="576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upper-tail line-specific; factorii de calibrare rămân neutri până la validare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Cartonașe Multi-Line</w:t>
      </w:r>
    </w:p>
    <w:p>
      <w:pPr>
        <w:spacing w:after="80" w:line="247" w:lineRule="auto"/>
      </w:pPr>
      <w:r>
        <w:rPr>
          <w:i w:val="0"/>
        </w:rPr>
        <w:t>Cartonașele au fost revalidate ca familie Multi-Line pe baza motorului activ, a distribuției, a parametrilor, a Risk Classification și a stratului de sourcing. Modelul tratează totalul de cartonașe direct, deoarece profilurile gazdă/oaspete și arbitru pot fi dependente. Over-urile controlează low-tail-ul; Under-urile controlează upper-tail-ul, red-tail-ul și dispersia.</w:t>
      </w:r>
    </w:p>
    <w:p>
      <w:pPr>
        <w:pStyle w:val="Heading2"/>
        <w:keepNext/>
      </w:pPr>
      <w:r>
        <w:t>14.1 Definirea variabilei și G0</w:t>
      </w:r>
    </w:p>
    <w:p>
      <w:pPr>
        <w:pStyle w:val="ListBullet"/>
        <w:spacing w:after="40" w:line="240" w:lineRule="auto"/>
      </w:pPr>
      <w:r>
        <w:t>Variabila țintă trebuie normalizată consistent: galbene ordinare, eliminare după al doilea galben și roșii directe trebuie mapate conform definiției pieței analizate și aceleiași reguli în istoric și forecast.</w:t>
      </w:r>
    </w:p>
    <w:p>
      <w:pPr>
        <w:pStyle w:val="ListBullet"/>
        <w:spacing w:after="40" w:line="240" w:lineRule="auto"/>
      </w:pPr>
      <w:r>
        <w:t>Prețul, EV și decontarea ca factor economic nu decid verdictul tehnic. Totuși, definiția modului în care sunt numărate sancțiunile rămâne critică pentru a ști ce variabilă este modelată.</w:t>
      </w:r>
    </w:p>
    <w:p>
      <w:pPr>
        <w:pStyle w:val="ListBullet"/>
        <w:spacing w:after="40" w:line="240" w:lineRule="auto"/>
      </w:pPr>
      <w:r>
        <w:t>G0 include fixture confirmat, istoric normalizat, definiția sursei brute, arbitrul, sample-ul, sursele și confidence-ul minim necesar. Cotele reale sunt opționale pentru verdictul tehnic.</w:t>
      </w:r>
    </w:p>
    <w:p>
      <w:pPr>
        <w:pStyle w:val="ListBullet"/>
        <w:spacing w:after="40" w:line="240" w:lineRule="auto"/>
      </w:pPr>
      <w:r>
        <w:t>Sourcing-ul arbitrului și al disciplinei echipelor este separat de sursele de goluri/1X2 și trebuie documentat în auditul per input.</w:t>
      </w:r>
    </w:p>
    <w:p>
      <w:pPr>
        <w:pStyle w:val="Heading2"/>
        <w:keepNext/>
      </w:pPr>
      <w:r>
        <w:t>14.2 Baza statistică și profilul arbitrului</w:t>
      </w:r>
    </w:p>
    <w:p>
      <w:pPr>
        <w:pStyle w:val="ListBullet"/>
        <w:spacing w:after="40" w:line="240" w:lineRule="auto"/>
      </w:pPr>
      <w:r>
        <w:t>Echipe: cards received și cards drawn, sezon, home/away și recent; sample-ul fiecărui split este păstrat explicit.</w:t>
      </w:r>
    </w:p>
    <w:p>
      <w:pPr>
        <w:pStyle w:val="ListBullet"/>
        <w:spacing w:after="40" w:line="240" w:lineRule="auto"/>
      </w:pPr>
      <w:r>
        <w:t>Faulturi: committed și drawn, cu splituri de sezon, home/away și recent; se folosesc ca volum de oportunități disciplinare, fără dublu-count față de cartonașe.</w:t>
      </w:r>
    </w:p>
    <w:p>
      <w:pPr>
        <w:pStyle w:val="ListBullet"/>
        <w:spacing w:after="40" w:line="240" w:lineRule="auto"/>
      </w:pPr>
      <w:r>
        <w:t>Arbitru: cards/meci, fouls sancționate/meci, roșii directe/meci, N și bias H/A. Estimarea arbitrului este shrunk către media ligii, astfel încât sample-ul mic să nu domine.</w:t>
      </w:r>
    </w:p>
    <w:p>
      <w:pPr>
        <w:pStyle w:val="ListBullet"/>
        <w:spacing w:after="40" w:line="240" w:lineRule="auto"/>
      </w:pPr>
      <w:r>
        <w:t>Context: derby/heat, miză, echilibru, tranziții, presiune public, lot, vreme, modificări de regulament și trendul arbitrului, cu efecte plafonate.</w:t>
      </w:r>
    </w:p>
    <w:p>
      <w:pPr>
        <w:pStyle w:val="Heading2"/>
        <w:keepNext/>
      </w:pPr>
      <w:r>
        <w:t>14.3 Distribuția și tail-urile</w:t>
      </w:r>
    </w:p>
    <w:p>
      <w:pPr>
        <w:spacing w:after="80" w:line="247" w:lineRule="auto"/>
      </w:pPr>
      <w:r>
        <w:rPr>
          <w:i w:val="0"/>
        </w:rPr>
        <w:t>Modelul estimează separat media gazdelor și a oaspeților, apoi totalul. Indicele D = Varianță / Medie alege familia de distribuție: sub-dispersia folosește o aproximație binomială, zona echidispersată folosește Poisson, iar supra-dispersia folosește Negative Binomial. Totalul este modelat direct, nu prin simpla înmulțire a probabilităților pe echipe.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rPr>
          <w:tblHeader w:val="true"/>
        </w:trPr>
        <w:tc>
          <w:tcPr>
            <w:tcW w:type="dxa" w:w="144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Ramură</w:t>
            </w:r>
          </w:p>
        </w:tc>
        <w:tc>
          <w:tcPr>
            <w:tcW w:type="dxa" w:w="194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Linii</w:t>
            </w:r>
          </w:p>
        </w:tc>
        <w:tc>
          <w:tcPr>
            <w:tcW w:type="dxa" w:w="2232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Failure</w:t>
            </w:r>
          </w:p>
        </w:tc>
        <w:tc>
          <w:tcPr>
            <w:tcW w:type="dxa" w:w="496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Driver suplimentar</w:t>
            </w:r>
          </w:p>
        </w:tc>
        <w:tc>
          <w:tcPr>
            <w:tcW w:type="dxa" w:w="792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Floor</w:t>
            </w:r>
          </w:p>
        </w:tc>
      </w:tr>
      <w:tr>
        <w:tc>
          <w:tcPr>
            <w:tcW w:type="dxa" w:w="144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Over</w:t>
            </w:r>
          </w:p>
        </w:tc>
        <w:tc>
          <w:tcPr>
            <w:tcW w:type="dxa" w:w="194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O1,5-O5,5</w:t>
            </w:r>
          </w:p>
        </w:tc>
        <w:tc>
          <w:tcPr>
            <w:tcW w:type="dxa" w:w="223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P(C &lt;= k)</w:t>
            </w:r>
          </w:p>
        </w:tc>
        <w:tc>
          <w:tcPr>
            <w:tcW w:type="dxa" w:w="496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low-card risk: arbitru, cards H/A, fouls, derby/miză, game-context</w:t>
            </w:r>
          </w:p>
        </w:tc>
        <w:tc>
          <w:tcPr>
            <w:tcW w:type="dxa" w:w="79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3</w:t>
            </w:r>
          </w:p>
        </w:tc>
      </w:tr>
      <w:tr>
        <w:tc>
          <w:tcPr>
            <w:tcW w:type="dxa" w:w="144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Under</w:t>
            </w:r>
          </w:p>
        </w:tc>
        <w:tc>
          <w:tcPr>
            <w:tcW w:type="dxa" w:w="194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U3,5-U10,5</w:t>
            </w:r>
          </w:p>
        </w:tc>
        <w:tc>
          <w:tcPr>
            <w:tcW w:type="dxa" w:w="223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P(C &gt;= k+1)</w:t>
            </w:r>
          </w:p>
        </w:tc>
        <w:tc>
          <w:tcPr>
            <w:tcW w:type="dxa" w:w="4968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arbitru strict, red-tail, dispersion, team/fouls/context</w:t>
            </w:r>
          </w:p>
        </w:tc>
        <w:tc>
          <w:tcPr>
            <w:tcW w:type="dxa" w:w="792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3</w:t>
            </w:r>
          </w:p>
        </w:tc>
      </w:tr>
    </w:tbl>
    <w:p>
      <w:pPr>
        <w:spacing w:after="0"/>
      </w:pPr>
    </w:p>
    <w:p>
      <w:pPr>
        <w:pStyle w:val="ListBullet"/>
        <w:spacing w:after="40" w:line="240" w:lineRule="auto"/>
      </w:pPr>
      <w:r>
        <w:t>Low-card risk pentru Total O2,5 este o penalizare secundară continuă, nu un hard gate nou. Context floor împiedică arbitrul să compenseze singur un context disciplinar slab.</w:t>
      </w:r>
    </w:p>
    <w:p>
      <w:pPr>
        <w:pStyle w:val="ListBullet"/>
        <w:spacing w:after="40" w:line="240" w:lineRule="auto"/>
      </w:pPr>
      <w:r>
        <w:t>Pentru Under 4,5, P(5+) este control explicit: de la 32% se blochează clasificarea PRUDENT, iar de la 36% selecția devine NO BET.</w:t>
      </w:r>
    </w:p>
    <w:p>
      <w:pPr>
        <w:pStyle w:val="ListBullet"/>
        <w:spacing w:after="40" w:line="240" w:lineRule="auto"/>
      </w:pPr>
      <w:r>
        <w:t>Pentru Under 5,5, P(6+) este control explicit: de la 22% se blochează clasificarea PRUDENT, iar de la 28% selecția devine NO BET.</w:t>
      </w:r>
    </w:p>
    <w:p>
      <w:pPr>
        <w:pStyle w:val="ListBullet"/>
        <w:spacing w:after="40" w:line="240" w:lineRule="auto"/>
      </w:pPr>
      <w:r>
        <w:t>Interacțiunea arbitru strict x context intens poate crește controlat media și dispersia, în special pentru protecția Under.</w:t>
      </w:r>
    </w:p>
    <w:p>
      <w:pPr>
        <w:pStyle w:val="ListBullet"/>
        <w:spacing w:after="40" w:line="240" w:lineRule="auto"/>
      </w:pPr>
      <w:r>
        <w:t>Factorii line-specific de calibrare rămân neutri până la suficiente predicții frozen OOS; nu se inventează praguri retrospectiv.</w:t>
      </w:r>
    </w:p>
    <w:p>
      <w:pPr>
        <w:pStyle w:val="ListBullet"/>
        <w:spacing w:after="40" w:line="240" w:lineRule="auto"/>
      </w:pPr>
      <w:r>
        <w:t>Structural floor este Nivel 3 pentru toate liniile Multi-Line. Un Risk Score brut mic nu poate transforma o selecție de cartonașe în DEFENSIV sau PRUDENT.</w:t>
      </w:r>
    </w:p>
    <w:p>
      <w:pPr>
        <w:pStyle w:val="Heading2"/>
        <w:keepNext/>
      </w:pPr>
      <w:r>
        <w:t>14.4 Data Readiness și release pentru cartonașe</w:t>
      </w:r>
    </w:p>
    <w:p>
      <w:pPr>
        <w:spacing w:after="80" w:line="247" w:lineRule="auto"/>
      </w:pPr>
      <w:r>
        <w:rPr>
          <w:i w:val="0"/>
        </w:rPr>
        <w:t>Auditul operațional controlează fixture-ul, normalizarea definiției, disciplinele H/A/recent, arbitrul și N, media/varianța totalului și trasabilitatea surselor. AVAILABLE - NOT CHECKED nu este LIPSA DATE, dar cât timp rămâne în coada de sourcing motorul nu este eliberat pentru execuție. PENDING OFFICIAL pentru delegarea arbitrului este o stare temporară și necesită refresh; NOT AVAILABLE sau SOURCE CONFLICT devin hard numai conform rolului critic al inputului.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22"/>
      </w:tblGrid>
      <w:tr>
        <w:tc>
          <w:tcPr>
            <w:tcW w:type="dxa" w:w="1032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8"/>
              </w:rPr>
              <w:t xml:space="preserve">Concluzie pentru Cartonașe Multi-Line - </w:t>
            </w:r>
            <w:r>
              <w:rPr>
                <w:sz w:val="18"/>
              </w:rPr>
              <w:t>metodologia activă este coerentă cu cadrul unificat dacă se păstrează simultan: normalizarea variabilei, sourcing complet, structural floor 3, control low-tail pentru Over, control upper-tail + red/dispersion pentru Under și separarea strictă dintre release operațional și verdict probabilistic.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Reguli operaționale pentru analiză, topuri și raportare</w:t>
      </w:r>
    </w:p>
    <w:p>
      <w:pPr>
        <w:pStyle w:val="ListNumber"/>
        <w:spacing w:after="40" w:line="240" w:lineRule="auto"/>
      </w:pPr>
      <w:r>
        <w:t>Nu ordona selecțiile după probabilitate înainte de eligibilitate. G0 și Data Readiness sunt verificate primele.</w:t>
      </w:r>
    </w:p>
    <w:p>
      <w:pPr>
        <w:pStyle w:val="ListNumber"/>
        <w:spacing w:after="40" w:line="240" w:lineRule="auto"/>
      </w:pPr>
      <w:r>
        <w:t>Nu introduce reguli noi, praguri ad-hoc sau excepții în timpul rulării. Dacă modelul nu definește un prag, marchează CALIBRATION PENDING / OOS PENDING.</w:t>
      </w:r>
    </w:p>
    <w:p>
      <w:pPr>
        <w:pStyle w:val="ListNumber"/>
        <w:spacing w:after="40" w:line="240" w:lineRule="auto"/>
      </w:pPr>
      <w:r>
        <w:t>Pentru familiile Multi-Line, fiecare linie se evaluează separat după propriul failure tail; verdictul unei linii nu se transferă automat la alta.</w:t>
      </w:r>
    </w:p>
    <w:p>
      <w:pPr>
        <w:pStyle w:val="ListNumber"/>
        <w:spacing w:after="40" w:line="240" w:lineRule="auto"/>
      </w:pPr>
      <w:r>
        <w:t>SMALL SAMPLE se tratează cu prior/shrinkage și confidence cap atunci când metodologia permite. Nu se transformă automat în LIPSA DATE sau PRUDENT.</w:t>
      </w:r>
    </w:p>
    <w:p>
      <w:pPr>
        <w:pStyle w:val="ListNumber"/>
        <w:spacing w:after="40" w:line="240" w:lineRule="auto"/>
      </w:pPr>
      <w:r>
        <w:t>AVAILABLE - NOT CHECKED cere reluarea sourcing-ului. NOT AVAILABLE se declară numai după căutare rezonabilă și se mapează la hard fail doar dacă inputul este critic.</w:t>
      </w:r>
    </w:p>
    <w:p>
      <w:pPr>
        <w:pStyle w:val="ListNumber"/>
        <w:spacing w:after="40" w:line="240" w:lineRule="auto"/>
      </w:pPr>
      <w:r>
        <w:t>Prețul și EV nu clasifică riscul tehnic. Excepția de structură este folosirea probabilității de piață ca input obligatoriu acolo unde metodologia o cere pentru market direction sau draw risk.</w:t>
      </w:r>
    </w:p>
    <w:p>
      <w:pPr>
        <w:pStyle w:val="ListNumber"/>
        <w:spacing w:after="40" w:line="240" w:lineRule="auto"/>
      </w:pPr>
      <w:r>
        <w:t>Raportarea minimă a unei selecții include: piață/linie, P_adjusted, failure mode dominant, Risk Score, Risk Level, Confidence, Data Status, Hard Gate și verdict.</w:t>
      </w:r>
    </w:p>
    <w:p>
      <w:pPr>
        <w:pStyle w:val="ListNumber"/>
        <w:spacing w:after="40" w:line="240" w:lineRule="auto"/>
      </w:pPr>
      <w:r>
        <w:t>În topurile defensive: Nivel 1 = nucleu; Nivel 2 = completare; Nivel 3 = separat/moderat; Nivel 4-5 = exclus. Structural floors sunt respectate înainte de ranking.</w:t>
      </w:r>
    </w:p>
    <w:p>
      <w:pPr>
        <w:pStyle w:val="ListNumber"/>
        <w:spacing w:after="40" w:line="240" w:lineRule="auto"/>
      </w:pPr>
      <w:r>
        <w:t>Pentru Cornere și Cartonașe, Input Audit / Sourcing Queue / Completion Check trebuie închise înainte de lansarea motorului.</w:t>
      </w:r>
    </w:p>
    <w:p>
      <w:pPr>
        <w:pStyle w:val="ListNumber"/>
        <w:spacing w:after="40" w:line="240" w:lineRule="auto"/>
      </w:pPr>
      <w:r>
        <w:t>Predicțiile sunt înghețate pre-match. Rezultatele intră ulterior în backtest și nu pot modifica retrospectiv forecastul.</w:t>
      </w:r>
    </w:p>
    <w:p>
      <w:pPr>
        <w:pStyle w:val="Heading2"/>
        <w:keepNext/>
      </w:pPr>
      <w:r>
        <w:t>15.1 Format recomandat pentru top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1"/>
        <w:gridCol w:w="5161"/>
      </w:tblGrid>
      <w:tr>
        <w:trPr>
          <w:tblHeader w:val="true"/>
        </w:trPr>
        <w:tc>
          <w:tcPr>
            <w:tcW w:type="dxa" w:w="302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Câmp</w:t>
            </w:r>
          </w:p>
        </w:tc>
        <w:tc>
          <w:tcPr>
            <w:tcW w:type="dxa" w:w="828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Conținut obligatoriu</w:t>
            </w:r>
          </w:p>
        </w:tc>
      </w:tr>
      <w:tr>
        <w:tc>
          <w:tcPr>
            <w:tcW w:type="dxa" w:w="302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Meci / piață / linie</w:t>
            </w:r>
          </w:p>
        </w:tc>
        <w:tc>
          <w:tcPr>
            <w:tcW w:type="dxa" w:w="828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identificare clară a selecției</w:t>
            </w:r>
          </w:p>
        </w:tc>
      </w:tr>
      <w:tr>
        <w:tc>
          <w:tcPr>
            <w:tcW w:type="dxa" w:w="302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P ajustată</w:t>
            </w:r>
          </w:p>
        </w:tc>
        <w:tc>
          <w:tcPr>
            <w:tcW w:type="dxa" w:w="828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probabilitatea finală după haircut/calibrare permisă</w:t>
            </w:r>
          </w:p>
        </w:tc>
      </w:tr>
      <w:tr>
        <w:tc>
          <w:tcPr>
            <w:tcW w:type="dxa" w:w="302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Failure mode dominant</w:t>
            </w:r>
          </w:p>
        </w:tc>
        <w:tc>
          <w:tcPr>
            <w:tcW w:type="dxa" w:w="828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riscul exact care invalidează selecția</w:t>
            </w:r>
          </w:p>
        </w:tc>
      </w:tr>
      <w:tr>
        <w:tc>
          <w:tcPr>
            <w:tcW w:type="dxa" w:w="302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Risk Score / Risk Level</w:t>
            </w:r>
          </w:p>
        </w:tc>
        <w:tc>
          <w:tcPr>
            <w:tcW w:type="dxa" w:w="828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clasificarea comună, cu structural floor aplicat</w:t>
            </w:r>
          </w:p>
        </w:tc>
      </w:tr>
      <w:tr>
        <w:tc>
          <w:tcPr>
            <w:tcW w:type="dxa" w:w="302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Confidence</w:t>
            </w:r>
          </w:p>
        </w:tc>
        <w:tc>
          <w:tcPr>
            <w:tcW w:type="dxa" w:w="828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calitatea modelului și a datelor, separată de P(win)</w:t>
            </w:r>
          </w:p>
        </w:tc>
      </w:tr>
      <w:tr>
        <w:tc>
          <w:tcPr>
            <w:tcW w:type="dxa" w:w="302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Data Status</w:t>
            </w:r>
          </w:p>
        </w:tc>
        <w:tc>
          <w:tcPr>
            <w:tcW w:type="dxa" w:w="828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readiness pe inputurile relevante</w:t>
            </w:r>
          </w:p>
        </w:tc>
      </w:tr>
      <w:tr>
        <w:tc>
          <w:tcPr>
            <w:tcW w:type="dxa" w:w="302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Hard Gate</w:t>
            </w:r>
          </w:p>
        </w:tc>
        <w:tc>
          <w:tcPr>
            <w:tcW w:type="dxa" w:w="828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PASS / FAIL / NO RANK / stare echivalentă definită de model</w:t>
            </w:r>
          </w:p>
        </w:tc>
      </w:tr>
      <w:tr>
        <w:tc>
          <w:tcPr>
            <w:tcW w:type="dxa" w:w="302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Verdict</w:t>
            </w:r>
          </w:p>
        </w:tc>
        <w:tc>
          <w:tcPr>
            <w:tcW w:type="dxa" w:w="828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DEFENSIV / PRUDENT / MODERAT / RIDICAT / WATCH / NO BET</w:t>
            </w:r>
          </w:p>
        </w:tc>
      </w:tr>
      <w:tr>
        <w:tc>
          <w:tcPr>
            <w:tcW w:type="dxa" w:w="3024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1F1F"/>
                <w:sz w:val="16"/>
              </w:rPr>
              <w:t>Motivație</w:t>
            </w:r>
          </w:p>
        </w:tc>
        <w:tc>
          <w:tcPr>
            <w:tcW w:type="dxa" w:w="8280"/>
            <w:vAlign w:val="top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color w:val="1F1F1F"/>
                <w:sz w:val="16"/>
              </w:rPr>
              <w:t>1-3 factori determinanți, fără a inventa reguli noi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16. Backtest și calibrare</w:t>
      </w:r>
    </w:p>
    <w:p>
      <w:pPr>
        <w:pStyle w:val="ListBullet"/>
        <w:spacing w:after="40" w:line="240" w:lineRule="auto"/>
      </w:pPr>
      <w:r>
        <w:t>Salvează predicțiile pre-match înainte de rezultat; orice analiză post-match este separată.</w:t>
      </w:r>
    </w:p>
    <w:p>
      <w:pPr>
        <w:pStyle w:val="ListBullet"/>
        <w:spacing w:after="40" w:line="240" w:lineRule="auto"/>
      </w:pPr>
      <w:r>
        <w:t>Metrici minime: hit-rate cu interval Wilson, Brier, log-loss, calibration curve, fail distribution și stabilitate pe ligi / family / line.</w:t>
      </w:r>
    </w:p>
    <w:p>
      <w:pPr>
        <w:pStyle w:val="ListBullet"/>
        <w:spacing w:after="40" w:line="240" w:lineRule="auto"/>
      </w:pPr>
      <w:r>
        <w:t>Pentru Multi-Line, calibrarea este separată pe fiecare linie. Nu extrapola pragurile unei linii la alta.</w:t>
      </w:r>
    </w:p>
    <w:p>
      <w:pPr>
        <w:pStyle w:val="ListBullet"/>
        <w:spacing w:after="40" w:line="240" w:lineRule="auto"/>
      </w:pPr>
      <w:r>
        <w:t>Pragurile challenger sau pilot rămân nepromovate până la N suficient și evidență frozen OOS. Factorul neutru este preferat retro-fit-ului pe eșantion mic.</w:t>
      </w:r>
    </w:p>
    <w:p>
      <w:pPr>
        <w:pStyle w:val="ListBullet"/>
        <w:spacing w:after="40" w:line="240" w:lineRule="auto"/>
      </w:pPr>
      <w:r>
        <w:t>Backtestul separă failure modelabil/filtrabil de adverse outcome probabilistic normal, pentru a evita overfitting-ul.</w:t>
      </w:r>
    </w:p>
    <w:p>
      <w:pPr>
        <w:pStyle w:val="ListBullet"/>
        <w:spacing w:after="40" w:line="240" w:lineRule="auto"/>
      </w:pPr>
      <w:r>
        <w:t>Orice modificare metodologică se validează în afara rulării curente; rularea curentă nu este locul pentru a crea reguli noi.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22"/>
      </w:tblGrid>
      <w:tr>
        <w:tc>
          <w:tcPr>
            <w:tcW w:type="dxa" w:w="1032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8"/>
              </w:rPr>
              <w:t xml:space="preserve">Regula finală - </w:t>
            </w:r>
            <w:r>
              <w:rPr>
                <w:sz w:val="18"/>
              </w:rPr>
              <w:t>recomandarea este rezultatul unei succesiuni de controale, nu al unei singure probabilități: date -&gt; G0 -&gt; failure/tail -&gt; structural floor -&gt; Risk Level -&gt; P_adjusted -&gt; Confidence -&gt; release -&gt; ranking.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749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 xml:space="preserve">10 septembrie 2026  |  Pagina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96969"/>
        <w:sz w:val="16"/>
      </w:rPr>
      <w:t>PARIURI - CADRU METODOLOGIC INTERN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ptos" w:hAnsi="Aptos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47" w:lineRule="auto"/>
      <w:contextualSpacing/>
    </w:pPr>
    <w:rPr>
      <w:rFonts w:ascii="Aptos" w:hAnsi="Aptos"/>
      <w:color w:val="1F1F1F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47" w:lineRule="auto"/>
      <w:contextualSpacing/>
    </w:pPr>
    <w:rPr>
      <w:rFonts w:ascii="Aptos" w:hAnsi="Aptos"/>
      <w:color w:val="1F1F1F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