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Black pepper is native to southern</w:t>
      </w:r>
    </w:p>
    <w:p>
      <w:r>
        <w:rPr>
          <w:b/>
          <w:color w:val="3E2723"/>
        </w:rPr>
        <w:t>Cuisine Type:</w:t>
      </w:r>
      <w:r>
        <w:t xml:space="preserve"> American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Black pepper is native to southern</w:t>
      </w:r>
    </w:p>
    <w:p>
      <w:pPr>
        <w:pStyle w:val="ListBullet"/>
      </w:pPr>
      <w:r>
        <w:t>Black pepper is native to the Malabar coast of</w:t>
      </w:r>
    </w:p>
    <w:p>
      <w:pPr>
        <w:pStyle w:val="ListBullet"/>
      </w:pPr>
      <w:r>
        <w:t>Peppercorns come from a perennial tropical</w:t>
      </w:r>
    </w:p>
    <w:p>
      <w:pPr>
        <w:pStyle w:val="ListBullet"/>
      </w:pPr>
      <w:r>
        <w:t>the pepper</w:t>
      </w:r>
    </w:p>
    <w:p>
      <w:pPr>
        <w:pStyle w:val="ListBullet"/>
      </w:pPr>
      <w:r>
        <w:t>Peppercorn.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The berries are harvested from vines at different stages of maturity.</w:t>
      </w:r>
    </w:p>
    <w:p>
      <w:pPr>
        <w:pStyle w:val="ListNumber"/>
      </w:pPr>
      <w:r>
        <w:t>and left to darken and dry for black pepper, or picked earlier and preserved without darkening for green pepper. Pink pepper is picked after fully ripening.</w:t>
      </w:r>
    </w:p>
    <w:p>
      <w:pPr>
        <w:pStyle w:val="ListNumber"/>
      </w:pPr>
      <w:r>
        <w:t>In traditional medicine as a digestive aid.</w:t>
      </w:r>
    </w:p>
    <w:p>
      <w:pPr>
        <w:pStyle w:val="ListNumber"/>
      </w:pPr>
      <w:r>
        <w:t>184-185_BlackPepper.indd 184 13/06/2018 16:24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