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flavour and properties of turmeric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This annual crop is grown in heavily manured furrows; rhizomes are harvested when the leaves turn yellow.</w:t>
      </w:r>
    </w:p>
    <w:p>
      <w:pPr>
        <w:pStyle w:val="ListNumber"/>
      </w:pPr>
      <w:r>
        <w:t>Rhizomes are boiled and dried; they are then sold whole or ground to a powder.</w:t>
      </w:r>
    </w:p>
    <w:p>
      <w:pPr>
        <w:pStyle w:val="ListNumber"/>
      </w:pPr>
      <w:r>
        <w:t>Fabric dye; colouring agent in cosmetics; in traditional medicine as an anti-inflammatory and antimicrobial agent.</w:t>
      </w:r>
    </w:p>
    <w:p>
      <w:pPr>
        <w:pStyle w:val="ListNumber"/>
      </w:pPr>
      <w:r>
        <w:t>are more prominent in raw rhizomes. Peel and then chop or grate them, like ginger.</w:t>
      </w:r>
    </w:p>
    <w:p>
      <w:pPr>
        <w:pStyle w:val="ListNumber"/>
      </w:pPr>
      <w:r>
        <w:t>204-205_Turmeric.indd 204 04/06/2018 15:49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