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Influenced by the culture of neighbouring Rajasthan,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cumin seeds</w:t>
      </w:r>
    </w:p>
    <w:p>
      <w:pPr>
        <w:pStyle w:val="ListBullet"/>
      </w:pPr>
      <w:r>
        <w:t>One tsp coriander seeds</w:t>
      </w:r>
    </w:p>
    <w:p>
      <w:pPr>
        <w:pStyle w:val="ListBullet"/>
      </w:pPr>
      <w:r>
        <w:t>One tbsp black</w:t>
      </w:r>
    </w:p>
    <w:p>
      <w:pPr>
        <w:pStyle w:val="ListBullet"/>
      </w:pPr>
      <w:r>
        <w:t>Three tbsp amchoor 1 tsp ground ginger</w:t>
      </w:r>
    </w:p>
    <w:p>
      <w:pPr>
        <w:pStyle w:val="ListBullet"/>
      </w:pPr>
      <w:r>
        <w:t>One tbsp kala namak</w:t>
      </w:r>
    </w:p>
    <w:p>
      <w:pPr>
        <w:pStyle w:val="ListBullet"/>
      </w:pPr>
      <w:r>
        <w:t>One tsp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