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While lwakura's style of kaiseki is modern, history influences the way he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of washoku and kaiseki; although Kamakura's fish comes from Europe or Japan.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ingredients and cook and plate them, we should know the basics."</w:t>
      </w:r>
    </w:p>
    <w:p>
      <w:pPr>
        <w:pStyle w:val="ListNumber"/>
      </w:pPr>
      <w:r>
        <w:t>Seasonal, local ingredients are a big part of realizing the artfulness</w:t>
      </w:r>
    </w:p>
    <w:p>
      <w:pPr>
        <w:pStyle w:val="ListNumber"/>
      </w:pPr>
      <w:r>
        <w:t>of washoku and kaiseki; although Kamakura's fish comes from Europe or Japan.</w:t>
      </w:r>
    </w:p>
    <w:p>
      <w:pPr>
        <w:pStyle w:val="ListNumber"/>
      </w:pPr>
      <w:r>
        <w:t>lwakura tries to get the rest of his ingredients locally or from the East Coast.</w:t>
      </w:r>
    </w:p>
    <w:p>
      <w:pPr>
        <w:pStyle w:val="ListNumber"/>
      </w:pPr>
      <w:r>
        <w:t>white, and black) that represent different flavors, nutrition, and vitamins. "That's</w:t>
      </w:r>
    </w:p>
    <w:p>
      <w:pPr>
        <w:pStyle w:val="ListNumber"/>
      </w:pPr>
      <w:r>
        <w:t>the culture and philosophy behind Japanese traditional cuisine," lwakura says.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