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While not as influenced by the spice trade as Malaysia</w:t>
      </w:r>
    </w:p>
    <w:p>
      <w:r>
        <w:rPr>
          <w:b/>
          <w:color w:val="3E2723"/>
        </w:rPr>
        <w:t>Cuisine Type:</w:t>
      </w:r>
      <w:r>
        <w:t xml:space="preserve"> Asian/Thai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bird’s eye chillies, roughly chopped bird’s eye chillies, roughly chopped</w:t>
      </w:r>
    </w:p>
    <w:p>
      <w:pPr>
        <w:pStyle w:val="ListBullet"/>
      </w:pPr>
      <w:r>
        <w:t>One garlic clove, roughly chopped</w:t>
      </w:r>
    </w:p>
    <w:p>
      <w:pPr>
        <w:pStyle w:val="ListBullet"/>
      </w:pPr>
      <w:r>
        <w:t>Two tsp palm sugar</w:t>
      </w:r>
    </w:p>
    <w:p>
      <w:pPr>
        <w:pStyle w:val="ListBullet"/>
      </w:pPr>
      <w:r>
        <w:t>Two tbsp Vietnamese fish sauce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