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Region of cultivation</w:t>
      </w:r>
    </w:p>
    <w:p>
      <w:r>
        <w:rPr>
          <w:b/>
          <w:color w:val="3E2723"/>
        </w:rPr>
        <w:t>Cuisine Type:</w:t>
      </w:r>
      <w:r>
        <w:t xml:space="preserve"> Asian/Thai</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Grown as an annual crop, rhizomes develop clumps of green stalks and are harvested 3-4 months after planting.</w:t>
      </w:r>
    </w:p>
    <w:p>
      <w:pPr>
        <w:pStyle w:val="ListNumber"/>
      </w:pPr>
      <w:r>
        <w:t>Rhizomes are washed, then cut up and scraped to be sold fresh, dried, or ground.</w:t>
      </w:r>
    </w:p>
    <w:p>
      <w:pPr>
        <w:pStyle w:val="ListNumber"/>
      </w:pPr>
      <w:r>
        <w:t>and treat heart and lung diseases.</w:t>
      </w:r>
    </w:p>
    <w:p>
      <w:pPr>
        <w:pStyle w:val="ListNumber"/>
      </w:pPr>
      <w:r>
        <w:t>burnt galangal as a fumigant, to perfume and disinfect the air. It was also used as a medicine by ancient civilizations from the Mediterranean to China. Greek and Roman physicians included the spice, brought from Asia on early trade routes, in their expensive concoctions for wealthy patients. In the Middle Ages, the German herbalist Hildegard of Bingen (1098-1179) described galangal as “the spice of life”, but evidence suggests it was a different variety, known today as lesser galangal, that became popular in European cooking. It appears in a sauce recipe in The Forme of Cury, a 14th-century English cookery book, and in many other medieval and T udor recipes. T oday it is an important spice in Southeast Asian cuisine.Spice story</w:t>
      </w:r>
    </w:p>
    <w:p>
      <w:pPr>
        <w:pStyle w:val="ListNumber"/>
      </w:pPr>
      <w:r>
        <w:t>138-139_Galangal.indd 138 04/06/2018 15:48</w:t>
      </w:r>
    </w:p>
    <w:p>
      <w:r>
        <w:rPr>
          <w:color w:val="1565C0"/>
        </w:rPr>
        <w:t>──────────────────────────────────────────────────</w:t>
      </w:r>
    </w:p>
    <w:p>
      <w:pPr>
        <w:pStyle w:val="Heading2"/>
      </w:pPr>
      <w:r>
        <w:t>Techniques Used</w:t>
      </w:r>
    </w:p>
    <w:p>
      <w:pPr>
        <w:pStyle w:val="ListBullet"/>
      </w:pPr>
      <w:r>
        <w:t>Slice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