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COUNTRY BREAD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 baker’s true skill lies in the way he or she manages fermentation. This is the</w:t>
      </w:r>
    </w:p>
    <w:p>
      <w:pPr>
        <w:pStyle w:val="ListNumber"/>
      </w:pPr>
      <w:r>
        <w:t>Starter is a mixture of flour and water set to ferment. This fermentation</w:t>
      </w:r>
    </w:p>
    <w:p>
      <w:pPr>
        <w:pStyle w:val="ListNumber"/>
      </w:pPr>
      <w:r>
        <w:t>happens naturally. After regular, successive feedings, bacteria that produce lactic</w:t>
      </w:r>
    </w:p>
    <w:p>
      <w:pPr>
        <w:pStyle w:val="ListNumber"/>
      </w:pPr>
      <w:r>
        <w:t>a symbiotic relationship. Sourdough starter cultures around the world are closely</w:t>
      </w:r>
    </w:p>
    <w:p>
      <w:pPr>
        <w:pStyle w:val="ListNumber"/>
      </w:pPr>
      <w:r>
        <w:t>related, many of them having the same dominant strains of yeast and bacteria.</w:t>
      </w:r>
    </w:p>
    <w:p>
      <w:pPr>
        <w:pStyle w:val="ListNumber"/>
      </w:pPr>
      <w:r>
        <w:t>1. A mature starter must be used to mix the leaven. The starter will be</w:t>
      </w:r>
    </w:p>
    <w:p>
      <w:pPr>
        <w:pStyle w:val="ListNumber"/>
      </w:pPr>
      <w:r>
        <w:t>strongly ripe smelling and moderately acidic.</w:t>
      </w:r>
    </w:p>
    <w:p>
      <w:pPr>
        <w:pStyle w:val="ListNumber"/>
      </w:pPr>
      <w:r>
        <w:t>2. The leaven must be used to mix the dough when it is young and sweet</w:t>
      </w:r>
    </w:p>
    <w:p>
      <w:pPr>
        <w:pStyle w:val="ListNumber"/>
      </w:pPr>
      <w:r>
        <w:t>smelling-long before it starts to smell anything like the starter.</w:t>
      </w:r>
    </w:p>
    <w:p>
      <w:pPr>
        <w:pStyle w:val="ListNumber"/>
      </w:pPr>
      <w:r>
        <w:t>2008, I had not seen them for fifteen years. The talk almost immediately turned to</w:t>
      </w:r>
    </w:p>
    <w:p>
      <w:pPr>
        <w:pStyle w:val="ListNumber"/>
      </w:pPr>
      <w:r>
        <w:t>bread and the intricacies of the leavens we were each using. I had brought photos</w:t>
      </w:r>
    </w:p>
    <w:p>
      <w:pPr>
        <w:pStyle w:val="ListNumber"/>
      </w:pPr>
      <w:r>
        <w:t>schedules and percentages I was working with at Tartine.</w:t>
      </w:r>
    </w:p>
    <w:p>
      <w:pPr>
        <w:pStyle w:val="ListNumber"/>
      </w:pPr>
      <w:r>
        <w:t>me. He said he had been experimenting for some time, but was not yet able to use</w:t>
      </w:r>
    </w:p>
    <w:p>
      <w:pPr>
        <w:pStyle w:val="ListNumber"/>
      </w:pPr>
      <w:r>
        <w:t>this type of starter to leaven the bread to his liking. Incredibly, it was the same</w:t>
      </w:r>
    </w:p>
    <w:p>
      <w:pPr>
        <w:pStyle w:val="ListNumber"/>
      </w:pPr>
      <w:r>
        <w:t>one I use now in San Francisco. The two starters must have been supporting the</w:t>
      </w:r>
    </w:p>
    <w:p>
      <w:pPr>
        <w:pStyle w:val="ListNumber"/>
      </w:pPr>
      <w:r>
        <w:t>same microflora, as the aroma and flavor were identical. Indeed, after discussing</w:t>
      </w:r>
    </w:p>
    <w:p>
      <w:pPr>
        <w:pStyle w:val="ListNumber"/>
      </w:pPr>
      <w:r>
        <w:t>our maintenance, we discovered we were on the same feeding schedule.</w:t>
      </w:r>
    </w:p>
    <w:p>
      <w:pPr>
        <w:pStyle w:val="ListNumber"/>
      </w:pPr>
      <w:r>
        <w:t>Wild yeasts are on the grain, on the baker’s hands and, to a lesser extent,</w:t>
      </w:r>
    </w:p>
    <w:p>
      <w:pPr>
        <w:pStyle w:val="ListNumber"/>
      </w:pPr>
      <w:r>
        <w:t>in the air. The bacteria, which need to be nourished, are living microorganisms</w:t>
      </w:r>
    </w:p>
    <w:p>
      <w:pPr>
        <w:pStyle w:val="ListNumber"/>
      </w:pPr>
      <w:r>
        <w:t>that eat simple sugars and excrete lactic and acetic acids as waste. Wild yeasts eat</w:t>
      </w:r>
    </w:p>
    <w:p>
      <w:pPr>
        <w:pStyle w:val="ListNumber"/>
      </w:pPr>
      <w:r>
        <w:t>different sugars and produce carbon dioxide during fermentation. The ratio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