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How to Use This Book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going on at Noma 2.0 in a meaningful way. While</w:t>
      </w:r>
    </w:p>
    <w:p>
      <w:pPr>
        <w:pStyle w:val="ListNumber"/>
      </w:pPr>
      <w:r>
        <w:t>them. You'll see, however, that this text is not a recipe.</w:t>
      </w:r>
    </w:p>
    <w:p>
      <w:pPr>
        <w:pStyle w:val="ListNumber"/>
      </w:pPr>
      <w:r>
        <w:t>each season-Vegetable, Forest, Ocean-and the</w:t>
      </w:r>
    </w:p>
    <w:p>
      <w:pPr>
        <w:pStyle w:val="ListNumber"/>
      </w:pPr>
      <w:r>
        <w:t>creative perspectives our team brings to them.</w:t>
      </w:r>
    </w:p>
    <w:p>
      <w:pPr>
        <w:pStyle w:val="ListNumber"/>
      </w:pPr>
      <w:r>
        <w:t>These elements are divided into components. Some</w:t>
      </w:r>
    </w:p>
    <w:p>
      <w:pPr>
        <w:pStyle w:val="ListNumber"/>
      </w:pPr>
      <w:r>
        <w:t>components; others are used on their own in the dish.</w:t>
      </w:r>
    </w:p>
    <w:p>
      <w:pPr>
        <w:pStyle w:val="ListNumber"/>
      </w:pPr>
      <w:r>
        <w:t>the set of essentials we design for each season, such as</w:t>
      </w:r>
    </w:p>
    <w:p>
      <w:pPr>
        <w:pStyle w:val="ListNumber"/>
      </w:pPr>
      <w:r>
        <w:t>oils, garums, and broths. Recipes for those components,</w:t>
      </w:r>
    </w:p>
    <w:p>
      <w:pPr>
        <w:pStyle w:val="ListNumber"/>
      </w:pPr>
      <w:r>
        <w:t>be found in the Gastronomique section (pages 330-351).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