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Scoring Dough with a Crosshatch</w:t>
      </w:r>
    </w:p>
    <w:p>
      <w:r>
        <w:rPr>
          <w:b/>
          <w:color w:val="3E2723"/>
        </w:rPr>
        <w:t>Cuisine Type:</w:t>
      </w:r>
      <w:r>
        <w:t xml:space="preserve"> French/Classical</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Fifty-Eight At the end of the proofing time, when the dough is ready to bake, dust it At the end of the proofing time, when the dough is ready to bake, dust it</w:t>
      </w:r>
    </w:p>
    <w:p>
      <w:r>
        <w:rPr>
          <w:color w:val="1565C0"/>
        </w:rPr>
        <w:t>──────────────────────────────────────────────────</w:t>
      </w:r>
    </w:p>
    <w:p>
      <w:pPr>
        <w:pStyle w:val="Heading2"/>
      </w:pPr>
      <w:r>
        <w:t>Method</w:t>
      </w:r>
    </w:p>
    <w:p>
      <w:r>
        <w:t>*No method provided*</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