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CREAMS AND FILLINGS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 minutes</w:t>
      </w:r>
    </w:p>
    <w:p>
      <w:pPr>
        <w:pStyle w:val="ListBullet"/>
      </w:pPr>
      <w:r>
        <w:t>118 Add the sugar to the water in the copper pan, Add the sugar to the water in the copper pan,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