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Meilleurs Ouvriers de France, Euro-Toques, and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Advanced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characteristics of individual vegetable families. We hope</w:t>
      </w:r>
    </w:p>
    <w:p>
      <w:pPr>
        <w:pStyle w:val="ListNumber"/>
      </w:pPr>
      <w:r>
        <w:t>prising-vegetal journey of discovery.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