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BREADS</w:t>
      </w:r>
    </w:p>
    <w:p>
      <w:r>
        <w:rPr>
          <w:b/>
          <w:color w:val="3E2723"/>
        </w:rPr>
        <w:t>Cuisine Type:</w:t>
      </w:r>
      <w:r>
        <w:t xml:space="preserve"> French/Provincial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Two-Three cup (160 g/160 ml)</w:t>
      </w:r>
    </w:p>
    <w:p>
      <w:pPr>
        <w:pStyle w:val="ListBullet"/>
      </w:pPr>
      <w:r>
        <w:t>One-Three cup (75 g/80 ml)</w:t>
      </w:r>
    </w:p>
    <w:p>
      <w:pPr>
        <w:pStyle w:val="ListBullet"/>
      </w:pPr>
      <w:r>
        <w:t>Four minutes until well combined. Do not overwork the dough (see Chefs' Notes): minutes until well combined. Do not overwork the dough (see Chefs' Notes):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