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A. If you would like to cook it another day,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minute if working with refrigerated pasta. minute if working with refrigerated pasta.</w:t>
      </w:r>
    </w:p>
    <w:p>
      <w:pPr>
        <w:pStyle w:val="ListBullet"/>
      </w:pPr>
      <w:r>
        <w:t>Ninety-Two PASTA, PRETTY PLEASE NOTE: If the strings on your chitarra feel loose, PASTA, PRETTY PLEASE NOTE: If the strings on your chitarra feel loose,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