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Burrata Filling (pag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3. Be sure to boil the sealed ravioloni</w:t>
      </w:r>
    </w:p>
    <w:p>
      <w:pPr>
        <w:pStyle w:val="ListNumber"/>
      </w:pPr>
      <w:r>
        <w:t>stockpot. Boil ravioloni made with</w:t>
      </w:r>
    </w:p>
    <w:p>
      <w:pPr>
        <w:pStyle w:val="ListNumber"/>
      </w:pPr>
      <w:r>
        <w:t>water to melt. The ooziness cannot be</w:t>
      </w:r>
    </w:p>
    <w:p>
      <w:pPr>
        <w:pStyle w:val="ListNumber"/>
      </w:pPr>
      <w:r>
        <w:t>beat. Since there’s plenty going on both</w:t>
      </w:r>
    </w:p>
    <w:p>
      <w:pPr>
        <w:pStyle w:val="ListNumber"/>
      </w:pPr>
      <w:r>
        <w:t>there’s no need for a complicated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