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Italian adventure, but | didn’t attempt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night of the week and not get sick of it.</w:t>
      </w:r>
    </w:p>
    <w:p>
      <w:pPr>
        <w:pStyle w:val="ListNumber"/>
      </w:pPr>
      <w:r>
        <w:t>Little did | know. When | moved there, |</w:t>
      </w:r>
    </w:p>
    <w:p>
      <w:pPr>
        <w:pStyle w:val="ListNumber"/>
      </w:pPr>
      <w:r>
        <w:t>shapes combined with sauces could be. |</w:t>
      </w:r>
    </w:p>
    <w:p>
      <w:pPr>
        <w:pStyle w:val="ListNumber"/>
      </w:pPr>
      <w:r>
        <w:t>daily pasta making. Then, when my</w:t>
      </w:r>
    </w:p>
    <w:p>
      <w:pPr>
        <w:pStyle w:val="ListNumber"/>
      </w:pPr>
      <w:r>
        <w:t>phases. Nothing on his plate could touch</w:t>
      </w:r>
    </w:p>
    <w:p>
      <w:pPr>
        <w:pStyle w:val="ListNumber"/>
      </w:pPr>
      <w:r>
        <w:t>anything else. So help you if you tried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