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Herbalists throughout the ages, from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490 BCE , were named for their “fennel fields”. The Romans introduced the spice to all the lands they conquered, and by the early medieval period its popularity was widespread across Europe, thanks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Plants are cut when the seeds have matured on the flowering umbels and taken on a sage green colour.</w:t>
      </w:r>
    </w:p>
    <w:p>
      <w:pPr>
        <w:pStyle w:val="ListNumber"/>
      </w:pPr>
      <w:r>
        <w:t>Umbels bearing the fruits are dried, then threshed, cleaned, and graded.</w:t>
      </w:r>
    </w:p>
    <w:p>
      <w:pPr>
        <w:pStyle w:val="ListNumber"/>
      </w:pPr>
      <w:r>
        <w:t>Essential oil in cough medicines, soaps, and perfumes. In herbal medicine to improve vision and aid digestion.</w:t>
      </w:r>
    </w:p>
    <w:p>
      <w:pPr>
        <w:pStyle w:val="ListNumber"/>
      </w:pPr>
      <w:r>
        <w:t>094-095_Fennel.indd 94 13/06/2018 16:23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