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 15cm (6in)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spring, the stalk base is cut to expose the top of the taproot, which is “milked” every few days for its sap.</w:t>
      </w:r>
    </w:p>
    <w:p>
      <w:pPr>
        <w:pStyle w:val="ListNumber"/>
      </w:pPr>
      <w:r>
        <w:t>The sap is dried to form a dark resin, most of which is ground to a powder and mixed with rice flour and gum arabic.</w:t>
      </w:r>
    </w:p>
    <w:p>
      <w:pPr>
        <w:pStyle w:val="ListNumber"/>
      </w:pPr>
      <w:r>
        <w:t>In traditional medicine to relieve flatulence and to treat lung conditions.</w:t>
      </w:r>
    </w:p>
    <w:p>
      <w:pPr>
        <w:pStyle w:val="ListNumber"/>
      </w:pPr>
      <w:r>
        <w:t>for silphium, a widely used ancient spice from a similar, and now extinct, plant. They took it to Asia and the Mediterranean region, where it became very popular with the</w:t>
      </w:r>
    </w:p>
    <w:p>
      <w:pPr>
        <w:pStyle w:val="ListNumber"/>
      </w:pPr>
      <w:r>
        <w:t>for silphium. Asafoetida was prized both as a seasoning and for its health-giving properties, and is cited in many of the recipes in Apicius, a Roman cookbook from the 1st century ce. After the fall of the Roman Empire</w:t>
      </w:r>
    </w:p>
    <w:p>
      <w:pPr>
        <w:pStyle w:val="ListNumber"/>
      </w:pPr>
      <w:r>
        <w:t>Cookery Book (1226). In the 16th century, the Mughals are reported to have taken the spice to India, where</w:t>
      </w:r>
    </w:p>
    <w:p>
      <w:pPr>
        <w:pStyle w:val="ListNumber"/>
      </w:pPr>
      <w:r>
        <w:t>of vegetarian and Ayurvedic cuisine throughout the subcontinent. Spice story</w:t>
      </w:r>
    </w:p>
    <w:p>
      <w:pPr>
        <w:pStyle w:val="ListNumber"/>
      </w:pPr>
      <w:r>
        <w:t>174-175_Asafoetida.indd 174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