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fruit of the carob tree has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whole or crushed to remove the seeds.</w:t>
      </w:r>
    </w:p>
    <w:p>
      <w:pPr>
        <w:pStyle w:val="ListNumber"/>
      </w:pPr>
      <w:r>
        <w:t>Animal feed; cigarette flavouring; seeds are used to make a gelling agent (locust bean gum) employed in food and cosmetics.</w:t>
      </w:r>
    </w:p>
    <w:p>
      <w:pPr>
        <w:pStyle w:val="ListNumber"/>
      </w:pPr>
      <w:r>
        <w:t>158-159_Carob.indd 158 13/07/2018 11:43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