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Evidence suggests that the seeds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Fruits are harvested after flowering. Seeds are left to ripen and dry on the stalk.</w:t>
      </w:r>
    </w:p>
    <w:p>
      <w:pPr>
        <w:pStyle w:val="ListNumber"/>
      </w:pPr>
      <w:r>
        <w:t>or so to dry. The fruits are then threshed from the flower heads by machine.</w:t>
      </w:r>
    </w:p>
    <w:p>
      <w:pPr>
        <w:pStyle w:val="ListNumber"/>
      </w:pPr>
      <w:r>
        <w:t>of gripe water - and as a gentle sedative.</w:t>
      </w:r>
    </w:p>
    <w:p>
      <w:pPr>
        <w:pStyle w:val="ListNumber"/>
      </w:pPr>
      <w:r>
        <w:t>110-111_DillSeed.indd 110 13/07/2018 11:42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