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WATERMELON CUBE WITH AGED BALSAMIC VINEGAR</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WATERMELON CUBE WITH AGED BALSAMIC VINEGAR serves 6 This charming little amuse is comprised of two ingredients, and when there are only two, they had better be the best there are! My good friend Jose Andres inspired me to make this amuse one summer when he visited from his Washington, D.C., restaurant, Jaleo, where he is the chef-partner. Look for ripe, seedless watermelons in the height of summer, when they are bursting with luscious sweetness. Tap their shells; they should sound hollow and fee</w:t>
      </w:r>
    </w:p>
    <w:p>
      <w:r>
        <w:rPr>
          <w:color w:val="1565C0"/>
        </w:rPr>
        <w:t>──────────────────────────────────────────────────</w:t>
      </w:r>
    </w:p>
    <w:p>
      <w:pPr>
        <w:pStyle w:val="Heading2"/>
      </w:pPr>
      <w:r>
        <w:t>Techniques Used</w:t>
      </w:r>
    </w:p>
    <w:p>
      <w:pPr>
        <w:pStyle w:val="ListBullet"/>
      </w:pPr>
      <w:r>
        <w:t>Garnish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