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knead in the butter and, when incorporated, knead for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Gradually knead in the butter and, when incorporated, knead for</w:t>
      </w:r>
    </w:p>
    <w:p>
      <w:pPr>
        <w:pStyle w:val="ListBullet"/>
      </w:pPr>
      <w:r>
        <w:t>Five minutes, until the dough pulls away from the sides of the bowl.</w:t>
      </w:r>
    </w:p>
    <w:p>
      <w:pPr>
        <w:pStyle w:val="ListBullet"/>
      </w:pPr>
      <w:r>
        <w:t>for minutes</w:t>
      </w:r>
    </w:p>
    <w:p>
      <w:pPr>
        <w:pStyle w:val="ListBullet"/>
      </w:pPr>
      <w:r>
        <w:t>Four • CHEFS’ NOTES</w:t>
      </w:r>
    </w:p>
    <w:p>
      <w:pPr>
        <w:pStyle w:val="ListBullet"/>
      </w:pPr>
      <w:r>
        <w:t>with the salt or sugar when you begin the kneading process.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according to the capacity of your stand mixer.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