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become papery and brittle as they ripenCream-</w:t>
      </w:r>
    </w:p>
    <w:p>
      <w:r>
        <w:rPr>
          <w:color w:val="1565C0"/>
        </w:rPr>
        <w:t>──────────────────────────────────────────────────</w:t>
      </w:r>
    </w:p>
    <w:p>
      <w:pPr>
        <w:pStyle w:val="Heading2"/>
      </w:pPr>
      <w:r>
        <w:t>Method</w:t>
      </w:r>
    </w:p>
    <w:p>
      <w:pPr>
        <w:pStyle w:val="ListNumber"/>
      </w:pPr>
      <w:r>
        <w:t>Ripe pods are dislodged using a mechanical tree shaker or beating by hand with a stick.</w:t>
      </w:r>
    </w:p>
    <w:p>
      <w:pPr>
        <w:pStyle w:val="ListNumber"/>
      </w:pPr>
      <w:r>
        <w:t>Seeds are separated from pods by threshing and sieving, then dried and roasted.</w:t>
      </w:r>
    </w:p>
    <w:p>
      <w:pPr>
        <w:pStyle w:val="ListNumber"/>
      </w:pPr>
      <w:r>
        <w:t>Has been used as animal feed; fruits, seeds, and gum from wattle trees used in traditional Aboriginal medicine for many ailments.</w:t>
      </w:r>
    </w:p>
    <w:p>
      <w:pPr>
        <w:pStyle w:val="ListNumber"/>
      </w:pPr>
      <w:r>
        <w:t>Roasted | Woody | MustyWattle has been used as a staple food</w:t>
      </w:r>
    </w:p>
    <w:p>
      <w:pPr>
        <w:pStyle w:val="ListNumber"/>
      </w:pPr>
      <w:r>
        <w:t>least 4,000 years. Only a few of the hundreds of acacia species that grow</w:t>
      </w:r>
    </w:p>
    <w:p>
      <w:pPr>
        <w:pStyle w:val="ListNumber"/>
      </w:pPr>
      <w:r>
        <w:t>in Australia have edible seeds, and some others are toxic. Over a period</w:t>
      </w:r>
    </w:p>
    <w:p>
      <w:pPr>
        <w:pStyle w:val="ListNumber"/>
      </w:pPr>
      <w:r>
        <w:t>of thousands of years, the indigenous population identified the edible species. They either ate the seeds fresh, straight from the pod, or dried and roasted or baked them, crushing them between grinding stones to produce flour. Increasing commercial interest in the seeds has led to the development of small-scale plantations in Australia, although a significant proportion of the crop is still harvested from wild trees. As “bush food” increasingly features on Antipodean restaurant menus, wattle’s importance as a culinary spice has grown.Spice story</w:t>
      </w:r>
    </w:p>
    <w:p>
      <w:pPr>
        <w:pStyle w:val="ListNumber"/>
      </w:pPr>
      <w:r>
        <w:t>166-167_Wattle.indd 166 13/06/2018 16:24</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