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FlounderFlounder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• The population is abundant enough so that fishing won’t endanger its numbers.</w:t>
      </w:r>
    </w:p>
    <w:p>
      <w:pPr>
        <w:pStyle w:val="ListBullet"/>
      </w:pPr>
      <w:r>
        <w:t>• Fishing of the species is well managed.</w:t>
      </w:r>
    </w:p>
    <w:p>
      <w:pPr>
        <w:pStyle w:val="ListBullet"/>
      </w:pPr>
      <w:r>
        <w:t>Fishing plans should be carefully managed based on current research.</w:t>
      </w:r>
    </w:p>
    <w:p>
      <w:pPr>
        <w:pStyle w:val="ListBullet"/>
      </w:pPr>
      <w:r>
        <w:t>current rankings of the fish they serve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FlounderFlounder Type: lean. Varieties: Winter flounder, lemon sole, gray sole, Pacific d over sole, sand dab. Characteristics: White flesh; fine flakes; mild, sweet flavor. Weight: ½ to 5 lb (0.2 to 2.3 kg). Halibut Type: lean. Characteristics: l ooks like a giant flounder, with thicker flesh, delicate flavor. Cut into steaks and fillets. Weight: 4 to 100 lb or more (2 to 45 kg). Sole (Dover sole or English sole) Type: lean. Characteristics: narrower, more elongated than flounder. f lesh simila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