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Others,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herbs,</w:t>
      </w:r>
    </w:p>
    <w:p>
      <w:r>
        <w:rPr>
          <w:color w:val="1565C0"/>
        </w:rPr>
        <w:t>──────────────────────────────────────────────────</w:t>
      </w:r>
    </w:p>
    <w:p>
      <w:pPr>
        <w:pStyle w:val="Heading2"/>
      </w:pPr>
      <w:r>
        <w:t>Method</w:t>
      </w:r>
    </w:p>
    <w:p>
      <w:pPr>
        <w:pStyle w:val="ListNumber"/>
      </w:pPr>
      <w:r>
        <w:t>Others, including edible flowers, wild herbs, and other garnishes, accentuate a dish but certainly aren’t essential. The portions of each recipe are sized to be a part of a multicourse meal. Each recipe serves eight. If you intend to serve any of these dishes on their own, or as a part of a shorter meal, the recipe will serve four. In the back of the book are recipes for all of the “basics,” which are referenced in nearly every recipe. These encompass the building blocks of our food and include</w:t>
      </w:r>
    </w:p>
    <w:p>
      <w:r>
        <w:rPr>
          <w:color w:val="1565C0"/>
        </w:rPr>
        <w:t>──────────────────────────────────────────────────</w:t>
      </w:r>
    </w:p>
    <w:p>
      <w:pPr>
        <w:pStyle w:val="Heading2"/>
      </w:pPr>
      <w:r>
        <w:t>Techniques Used</w:t>
      </w:r>
    </w:p>
    <w:p>
      <w:pPr>
        <w:pStyle w:val="ListBullet"/>
      </w:pPr>
      <w:r>
        <w:t>Garnish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