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shown him-but he admitted he had read the recipe only once.</w:t>
      </w:r>
    </w:p>
    <w:p>
      <w:pPr>
        <w:pStyle w:val="ListNumber"/>
      </w:pPr>
      <w:r>
        <w:t>necessitated a completely different approach. He doesn’t have a large oven (forget</w:t>
      </w:r>
    </w:p>
    <w:p>
      <w:pPr>
        <w:pStyle w:val="ListNumber"/>
      </w:pPr>
      <w:r>
        <w:t>free-form hearth loaves), a large refrigerator (forget retarding), or even a mixer.</w:t>
      </w:r>
    </w:p>
    <w:p>
      <w:pPr>
        <w:pStyle w:val="ListNumber"/>
      </w:pPr>
      <w:r>
        <w:t>which he needed to pull forty loaves a day.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