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The Classical Menu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Appetizers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r>
        <w:t>*No ingredients listed*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agus, or a more unusual vegetable such as cardoons.</w:t>
      </w:r>
    </w:p>
    <w:p>
      <w:pPr>
        <w:pStyle w:val="ListNumber"/>
      </w:pPr>
      <w:r>
        <w:t>11. Sweet.What we call dessert-cakes and tarts, pudding, soufflés, etc.</w:t>
      </w:r>
    </w:p>
    <w:p>
      <w:pPr>
        <w:pStyle w:val="ListNumber"/>
      </w:pPr>
      <w:r>
        <w:t>12. Dessert.Fruit and cheese and, sometimes, small cookies or petits fours.</w:t>
      </w:r>
    </w:p>
    <w:p>
      <w:pPr>
        <w:pStyle w:val="ListNumber"/>
      </w:pPr>
      <w:r>
        <w:t>FIGURE 4.2 an example of two tasting menus from a fine-dining restaurant.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Roast</w:t>
      </w:r>
    </w:p>
    <w:p>
      <w:pPr>
        <w:pStyle w:val="ListBullet"/>
      </w:pPr>
      <w:r>
        <w:t>Braise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