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132 “If they could make it into the fourth week they “If they could make it into the fourth week they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became a clock. The top of the plate was twelve o’clock</w:t>
      </w:r>
    </w:p>
    <w:p>
      <w:pPr>
        <w:pStyle w:val="ListNumber"/>
      </w:pPr>
      <w:r>
        <w:t>and the bottom of the plate was six o’clock; three</w:t>
      </w:r>
    </w:p>
    <w:p>
      <w:pPr>
        <w:pStyle w:val="ListNumber"/>
      </w:pPr>
      <w:r>
        <w:t>o'clock was to the right and, of course, nine to the left.</w:t>
      </w:r>
    </w:p>
    <w:p>
      <w:pPr>
        <w:pStyle w:val="ListNumber"/>
      </w:pPr>
      <w:r>
        <w:t>at twelve, confit of garlic at four ...” It’s foolproof, so</w:t>
      </w:r>
    </w:p>
    <w:p>
      <w:pPr>
        <w:pStyle w:val="ListNumber"/>
      </w:pPr>
      <w:r>
        <w:t>long as the cooks can tell the time.</w:t>
      </w:r>
    </w:p>
    <w:p>
      <w:pPr>
        <w:pStyle w:val="ListNumber"/>
      </w:pPr>
      <w:r>
        <w:t>hours a day. When Marco wasn’t in the kitchen, 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