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Native only to the tiny Banda Islands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plasticky, scarlet-red covering called an aril. The leathery aril is peeled off, pressed and dried. Grenadian mace is traditionally “cured” in the dark for several months.</w:t>
      </w:r>
    </w:p>
    <w:p>
      <w:pPr>
        <w:pStyle w:val="ListNumber"/>
      </w:pPr>
      <w:r>
        <w:t>aid digestion, and improve circulation.MACE</w:t>
      </w:r>
    </w:p>
    <w:p>
      <w:pPr>
        <w:pStyle w:val="ListNumber"/>
      </w:pPr>
      <w:r>
        <w:t>106-107_Mace.indd 106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