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PRocEDUREs 167</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steps. Others prefer to brown the mirepoix separately so it can be added to the stock later in the cooking time.Tomato paste is the best choice of tomato product if it is</w:t>
      </w:r>
    </w:p>
    <w:p>
      <w:pPr>
        <w:pStyle w:val="ListNumber"/>
      </w:pPr>
      <w:r>
        <w:t>browned with the mirepoix, as it contains less water. Tomato purée or canned tomatoes may also be used, but they are more likely to be added directly to the stockpot.</w:t>
      </w:r>
    </w:p>
    <w:p>
      <w:r>
        <w:rPr>
          <w:color w:val="1565C0"/>
        </w:rPr>
        <w:t>──────────────────────────────────────────────────</w:t>
      </w:r>
    </w:p>
    <w:p>
      <w:pPr>
        <w:pStyle w:val="Heading2"/>
      </w:pPr>
      <w:r>
        <w:t>Techniques Used</w:t>
      </w:r>
    </w:p>
    <w:p>
      <w:pPr>
        <w:pStyle w:val="ListBullet"/>
      </w:pPr>
      <w:r>
        <w:t>Deglaze</w:t>
      </w:r>
    </w:p>
    <w:p>
      <w:pPr>
        <w:pStyle w:val="ListBullet"/>
      </w:pPr>
      <w:r>
        <w:t>Roast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