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 NOTE ON</w:t>
      </w:r>
    </w:p>
    <w:p>
      <w:r>
        <w:rPr>
          <w:b/>
          <w:color w:val="3E2723"/>
        </w:rPr>
        <w:t>Cuisine Type:</w:t>
      </w:r>
      <w:r>
        <w:t xml:space="preserve"> Modern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and 2 percent fresh yeast. (Note that 3 grams of fresh yeast</w:t>
      </w:r>
    </w:p>
    <w:p>
      <w:pPr>
        <w:pStyle w:val="ListBullet"/>
      </w:pPr>
      <w:r>
        <w:t>equals 1 gram of instant yeast, so this would equate to about 7 grams of instant yeast.) In</w:t>
      </w:r>
    </w:p>
    <w:p>
      <w:pPr>
        <w:pStyle w:val="ListBullet"/>
      </w:pPr>
      <w:r>
        <w:t>One hour before baking. What often differentiates the recipes is the type of flour used, slight hour before baking. What often differentiates the recipes is the type of flour used, slight</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